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A43F8" w14:textId="681A010D" w:rsidR="006E5807" w:rsidRPr="003E3FB6" w:rsidRDefault="00C0461B" w:rsidP="00983D5A">
      <w:pPr>
        <w:suppressAutoHyphens/>
        <w:spacing w:line="270" w:lineRule="exact"/>
        <w:rPr>
          <w:rFonts w:ascii="Arial" w:hAnsi="Arial" w:cs="Arial"/>
          <w:b/>
          <w:bCs/>
          <w:color w:val="000000"/>
          <w:sz w:val="20"/>
          <w:szCs w:val="20"/>
        </w:rPr>
      </w:pPr>
      <w:r w:rsidRPr="003E3FB6">
        <w:rPr>
          <w:rFonts w:ascii="Arial" w:hAnsi="Arial" w:cs="Arial"/>
          <w:bCs/>
          <w:color w:val="000000"/>
          <w:sz w:val="20"/>
          <w:szCs w:val="20"/>
        </w:rPr>
        <w:t xml:space="preserve">Paris, </w:t>
      </w:r>
      <w:r w:rsidR="0076083F">
        <w:rPr>
          <w:rFonts w:ascii="Arial" w:hAnsi="Arial" w:cs="Arial"/>
          <w:bCs/>
          <w:color w:val="000000"/>
          <w:sz w:val="20"/>
          <w:szCs w:val="20"/>
        </w:rPr>
        <w:t>12 décembre</w:t>
      </w:r>
      <w:r w:rsidR="00DB631B" w:rsidRPr="003E3FB6">
        <w:rPr>
          <w:rFonts w:ascii="Arial" w:hAnsi="Arial" w:cs="Arial"/>
          <w:bCs/>
          <w:color w:val="000000"/>
          <w:sz w:val="20"/>
          <w:szCs w:val="20"/>
        </w:rPr>
        <w:t xml:space="preserve"> </w:t>
      </w:r>
      <w:r w:rsidR="00331F98" w:rsidRPr="003E3FB6">
        <w:rPr>
          <w:rFonts w:ascii="Arial" w:hAnsi="Arial" w:cs="Arial"/>
          <w:bCs/>
          <w:color w:val="000000"/>
          <w:sz w:val="20"/>
          <w:szCs w:val="20"/>
        </w:rPr>
        <w:t>2014</w:t>
      </w:r>
    </w:p>
    <w:p w14:paraId="43F4BCCA" w14:textId="77777777" w:rsidR="000A4BB0" w:rsidRDefault="000A4BB0" w:rsidP="00983D5A">
      <w:pPr>
        <w:suppressAutoHyphens/>
        <w:spacing w:line="270" w:lineRule="exact"/>
        <w:jc w:val="center"/>
        <w:rPr>
          <w:rFonts w:ascii="Arial" w:hAnsi="Arial" w:cs="Arial"/>
          <w:b/>
          <w:bCs/>
          <w:color w:val="000000"/>
        </w:rPr>
      </w:pPr>
    </w:p>
    <w:p w14:paraId="41425F7F" w14:textId="6E72D993" w:rsidR="00752C30" w:rsidRPr="005B1B43" w:rsidRDefault="00F37CBF" w:rsidP="00983D5A">
      <w:pPr>
        <w:suppressAutoHyphens/>
        <w:spacing w:line="270" w:lineRule="exact"/>
        <w:rPr>
          <w:rFonts w:ascii="Arial" w:hAnsi="Arial" w:cs="Arial"/>
          <w:b/>
          <w:bCs/>
          <w:color w:val="000000"/>
        </w:rPr>
      </w:pPr>
      <w:r w:rsidRPr="00983D5A">
        <w:rPr>
          <w:rFonts w:ascii="Arial" w:hAnsi="Arial" w:cs="Arial"/>
          <w:b/>
          <w:bCs/>
          <w:color w:val="000000"/>
        </w:rPr>
        <w:t>« </w:t>
      </w:r>
      <w:proofErr w:type="spellStart"/>
      <w:r w:rsidR="000F7670" w:rsidRPr="00983D5A">
        <w:rPr>
          <w:rFonts w:ascii="Arial" w:hAnsi="Arial" w:cs="Arial"/>
          <w:b/>
          <w:bCs/>
          <w:color w:val="000000"/>
        </w:rPr>
        <w:t>Low-flation</w:t>
      </w:r>
      <w:proofErr w:type="spellEnd"/>
      <w:r w:rsidR="003467A0">
        <w:rPr>
          <w:rFonts w:ascii="Arial" w:hAnsi="Arial" w:cs="Arial"/>
          <w:b/>
          <w:bCs/>
          <w:color w:val="000000"/>
        </w:rPr>
        <w:t> »</w:t>
      </w:r>
      <w:r w:rsidR="000F7670" w:rsidRPr="00983D5A">
        <w:rPr>
          <w:rFonts w:ascii="Arial" w:hAnsi="Arial" w:cs="Arial"/>
          <w:b/>
          <w:bCs/>
          <w:color w:val="000000"/>
        </w:rPr>
        <w:t xml:space="preserve"> en </w:t>
      </w:r>
      <w:proofErr w:type="gramStart"/>
      <w:r w:rsidR="000F7670" w:rsidRPr="00983D5A">
        <w:rPr>
          <w:rFonts w:ascii="Arial" w:hAnsi="Arial" w:cs="Arial"/>
          <w:b/>
          <w:bCs/>
          <w:color w:val="000000"/>
        </w:rPr>
        <w:t>France</w:t>
      </w:r>
      <w:r w:rsidR="003467A0">
        <w:rPr>
          <w:rFonts w:ascii="Arial" w:hAnsi="Arial" w:cs="Arial"/>
          <w:b/>
          <w:bCs/>
          <w:color w:val="000000"/>
        </w:rPr>
        <w:t> </w:t>
      </w:r>
      <w:r w:rsidR="000F7670" w:rsidRPr="00983D5A">
        <w:rPr>
          <w:rFonts w:ascii="Arial" w:hAnsi="Arial" w:cs="Arial"/>
          <w:b/>
          <w:bCs/>
          <w:color w:val="000000"/>
        </w:rPr>
        <w:t>,</w:t>
      </w:r>
      <w:proofErr w:type="gramEnd"/>
      <w:r w:rsidR="000F7670" w:rsidRPr="00983D5A">
        <w:rPr>
          <w:rFonts w:ascii="Arial" w:hAnsi="Arial" w:cs="Arial"/>
          <w:b/>
          <w:bCs/>
          <w:color w:val="000000"/>
        </w:rPr>
        <w:t xml:space="preserve"> signe d’un changement de régime de croissance</w:t>
      </w:r>
    </w:p>
    <w:p w14:paraId="1BFAE914" w14:textId="77777777" w:rsidR="000A4BB0" w:rsidRPr="003E3FB6" w:rsidRDefault="000A4BB0" w:rsidP="00983D5A">
      <w:pPr>
        <w:suppressAutoHyphens/>
        <w:spacing w:line="270" w:lineRule="exact"/>
        <w:rPr>
          <w:rFonts w:ascii="Arial" w:hAnsi="Arial" w:cs="Arial"/>
          <w:b/>
          <w:bCs/>
          <w:color w:val="000000"/>
          <w:sz w:val="26"/>
          <w:szCs w:val="26"/>
        </w:rPr>
      </w:pPr>
    </w:p>
    <w:p w14:paraId="36DC1C7F" w14:textId="78CA3DE0" w:rsidR="003D3A0F" w:rsidRPr="00487AC9" w:rsidRDefault="003D3A0F" w:rsidP="00983D5A">
      <w:pPr>
        <w:suppressAutoHyphens/>
        <w:spacing w:line="270" w:lineRule="exact"/>
        <w:jc w:val="both"/>
        <w:rPr>
          <w:rFonts w:ascii="Arial" w:hAnsi="Arial" w:cs="Arial"/>
          <w:b/>
          <w:sz w:val="22"/>
          <w:szCs w:val="22"/>
        </w:rPr>
      </w:pPr>
      <w:r w:rsidRPr="00487AC9">
        <w:rPr>
          <w:rFonts w:ascii="Arial" w:hAnsi="Arial" w:cs="Arial"/>
          <w:b/>
          <w:sz w:val="22"/>
          <w:szCs w:val="22"/>
        </w:rPr>
        <w:t>Touchée par une inflation ralentie (« </w:t>
      </w:r>
      <w:proofErr w:type="spellStart"/>
      <w:r w:rsidRPr="00487AC9">
        <w:rPr>
          <w:rFonts w:ascii="Arial" w:hAnsi="Arial" w:cs="Arial"/>
          <w:b/>
          <w:sz w:val="22"/>
          <w:szCs w:val="22"/>
        </w:rPr>
        <w:t>low-flation</w:t>
      </w:r>
      <w:proofErr w:type="spellEnd"/>
      <w:r w:rsidRPr="00487AC9">
        <w:rPr>
          <w:rFonts w:ascii="Arial" w:hAnsi="Arial" w:cs="Arial"/>
          <w:b/>
          <w:sz w:val="22"/>
          <w:szCs w:val="22"/>
        </w:rPr>
        <w:t> ») et une croissance atone, la France risque de ne pas échapper au cer</w:t>
      </w:r>
      <w:r w:rsidR="00387DB2">
        <w:rPr>
          <w:rFonts w:ascii="Arial" w:hAnsi="Arial" w:cs="Arial"/>
          <w:b/>
          <w:sz w:val="22"/>
          <w:szCs w:val="22"/>
        </w:rPr>
        <w:t>cle vi</w:t>
      </w:r>
      <w:r w:rsidR="00912898">
        <w:rPr>
          <w:rFonts w:ascii="Arial" w:hAnsi="Arial" w:cs="Arial"/>
          <w:b/>
          <w:sz w:val="22"/>
          <w:szCs w:val="22"/>
        </w:rPr>
        <w:t>cieux</w:t>
      </w:r>
      <w:r w:rsidR="00387DB2">
        <w:rPr>
          <w:rFonts w:ascii="Arial" w:hAnsi="Arial" w:cs="Arial"/>
          <w:b/>
          <w:sz w:val="22"/>
          <w:szCs w:val="22"/>
        </w:rPr>
        <w:t xml:space="preserve"> de la baisse des prix</w:t>
      </w:r>
      <w:r w:rsidRPr="00487AC9">
        <w:rPr>
          <w:rFonts w:ascii="Arial" w:hAnsi="Arial" w:cs="Arial"/>
          <w:b/>
          <w:sz w:val="22"/>
          <w:szCs w:val="22"/>
        </w:rPr>
        <w:t xml:space="preserve">. </w:t>
      </w:r>
      <w:r>
        <w:rPr>
          <w:rFonts w:ascii="Arial" w:hAnsi="Arial" w:cs="Arial"/>
          <w:b/>
          <w:sz w:val="22"/>
          <w:szCs w:val="22"/>
        </w:rPr>
        <w:t>Sans aller jusqu’au cas extrême</w:t>
      </w:r>
      <w:r w:rsidRPr="00487AC9">
        <w:rPr>
          <w:rFonts w:ascii="Arial" w:hAnsi="Arial" w:cs="Arial"/>
          <w:b/>
          <w:sz w:val="22"/>
          <w:szCs w:val="22"/>
        </w:rPr>
        <w:t xml:space="preserve"> de la dépression profonde des années 1930 aux Etats-Unis et </w:t>
      </w:r>
      <w:r w:rsidR="00BE0EE5">
        <w:rPr>
          <w:rFonts w:ascii="Arial" w:hAnsi="Arial" w:cs="Arial"/>
          <w:b/>
          <w:sz w:val="22"/>
          <w:szCs w:val="22"/>
        </w:rPr>
        <w:t xml:space="preserve">dans </w:t>
      </w:r>
      <w:r w:rsidRPr="00487AC9">
        <w:rPr>
          <w:rFonts w:ascii="Arial" w:hAnsi="Arial" w:cs="Arial"/>
          <w:b/>
          <w:sz w:val="22"/>
          <w:szCs w:val="22"/>
        </w:rPr>
        <w:t xml:space="preserve">certains pays européens, une longue période de stagnation des prix et de la croissance, à l’instar </w:t>
      </w:r>
      <w:r w:rsidR="00BE0EE5">
        <w:rPr>
          <w:rFonts w:ascii="Arial" w:hAnsi="Arial" w:cs="Arial"/>
          <w:b/>
          <w:sz w:val="22"/>
          <w:szCs w:val="22"/>
        </w:rPr>
        <w:t>de la situation japonaise</w:t>
      </w:r>
      <w:r w:rsidRPr="00487AC9">
        <w:rPr>
          <w:rFonts w:ascii="Arial" w:hAnsi="Arial" w:cs="Arial"/>
          <w:b/>
          <w:sz w:val="22"/>
          <w:szCs w:val="22"/>
        </w:rPr>
        <w:t xml:space="preserve"> </w:t>
      </w:r>
      <w:r>
        <w:rPr>
          <w:rFonts w:ascii="Arial" w:hAnsi="Arial" w:cs="Arial"/>
          <w:b/>
          <w:sz w:val="22"/>
          <w:szCs w:val="22"/>
        </w:rPr>
        <w:t>entre 1990 et 2010, est-elle</w:t>
      </w:r>
      <w:r w:rsidRPr="00487AC9">
        <w:rPr>
          <w:rFonts w:ascii="Arial" w:hAnsi="Arial" w:cs="Arial"/>
          <w:b/>
          <w:sz w:val="22"/>
          <w:szCs w:val="22"/>
        </w:rPr>
        <w:t xml:space="preserve"> envisageable ? </w:t>
      </w:r>
      <w:r w:rsidR="00D922F7">
        <w:rPr>
          <w:rFonts w:ascii="Arial" w:hAnsi="Arial" w:cs="Arial"/>
          <w:b/>
          <w:sz w:val="22"/>
          <w:szCs w:val="22"/>
        </w:rPr>
        <w:t>Quel serait son effet sur l’économie française et ses entreprises ?</w:t>
      </w:r>
    </w:p>
    <w:p w14:paraId="5C6F2A99" w14:textId="77777777" w:rsidR="0076637C" w:rsidRDefault="0076637C" w:rsidP="00983D5A">
      <w:pPr>
        <w:suppressAutoHyphens/>
        <w:spacing w:line="270" w:lineRule="exact"/>
        <w:jc w:val="both"/>
        <w:rPr>
          <w:rFonts w:ascii="Arial" w:hAnsi="Arial" w:cs="Arial"/>
          <w:sz w:val="22"/>
          <w:szCs w:val="22"/>
        </w:rPr>
      </w:pPr>
    </w:p>
    <w:p w14:paraId="758F3D0C" w14:textId="77777777" w:rsidR="003D72B6" w:rsidRPr="00487AC9" w:rsidRDefault="003D72B6" w:rsidP="00983D5A">
      <w:pPr>
        <w:suppressAutoHyphens/>
        <w:spacing w:line="270" w:lineRule="exact"/>
        <w:jc w:val="both"/>
        <w:rPr>
          <w:rFonts w:ascii="Arial" w:hAnsi="Arial" w:cs="Arial"/>
          <w:sz w:val="22"/>
          <w:szCs w:val="22"/>
        </w:rPr>
      </w:pPr>
    </w:p>
    <w:p w14:paraId="2FC221B3" w14:textId="548B8BB6" w:rsidR="0076637C" w:rsidRDefault="00D34995" w:rsidP="00983D5A">
      <w:pPr>
        <w:suppressAutoHyphens/>
        <w:spacing w:line="270" w:lineRule="exact"/>
        <w:jc w:val="both"/>
        <w:rPr>
          <w:rFonts w:ascii="Arial" w:hAnsi="Arial" w:cs="Arial"/>
          <w:b/>
          <w:sz w:val="22"/>
          <w:szCs w:val="22"/>
        </w:rPr>
      </w:pPr>
      <w:r>
        <w:rPr>
          <w:rFonts w:ascii="Arial" w:hAnsi="Arial" w:cs="Arial"/>
          <w:b/>
          <w:sz w:val="22"/>
          <w:szCs w:val="22"/>
        </w:rPr>
        <w:t xml:space="preserve">20 ans de </w:t>
      </w:r>
      <w:r w:rsidR="0050679C">
        <w:rPr>
          <w:rFonts w:ascii="Arial" w:hAnsi="Arial" w:cs="Arial"/>
          <w:b/>
          <w:sz w:val="22"/>
          <w:szCs w:val="22"/>
        </w:rPr>
        <w:t>« </w:t>
      </w:r>
      <w:proofErr w:type="spellStart"/>
      <w:r>
        <w:rPr>
          <w:rFonts w:ascii="Arial" w:hAnsi="Arial" w:cs="Arial"/>
          <w:b/>
          <w:sz w:val="22"/>
          <w:szCs w:val="22"/>
        </w:rPr>
        <w:t>low-flation</w:t>
      </w:r>
      <w:proofErr w:type="spellEnd"/>
      <w:r w:rsidR="0050679C">
        <w:rPr>
          <w:rFonts w:ascii="Arial" w:hAnsi="Arial" w:cs="Arial"/>
          <w:b/>
          <w:sz w:val="22"/>
          <w:szCs w:val="22"/>
        </w:rPr>
        <w:t> »</w:t>
      </w:r>
      <w:r>
        <w:rPr>
          <w:rFonts w:ascii="Arial" w:hAnsi="Arial" w:cs="Arial"/>
          <w:b/>
          <w:sz w:val="22"/>
          <w:szCs w:val="22"/>
        </w:rPr>
        <w:t xml:space="preserve"> au Japon, </w:t>
      </w:r>
      <w:r w:rsidR="0050679C">
        <w:rPr>
          <w:rFonts w:ascii="Arial" w:hAnsi="Arial" w:cs="Arial"/>
          <w:b/>
          <w:sz w:val="22"/>
          <w:szCs w:val="22"/>
        </w:rPr>
        <w:t>quelles leçons à tirer ?</w:t>
      </w:r>
    </w:p>
    <w:p w14:paraId="4CA69288" w14:textId="77777777" w:rsidR="004E7145" w:rsidRPr="00487AC9" w:rsidRDefault="004E7145" w:rsidP="00983D5A">
      <w:pPr>
        <w:suppressAutoHyphens/>
        <w:spacing w:line="270" w:lineRule="exact"/>
        <w:jc w:val="both"/>
        <w:rPr>
          <w:rFonts w:ascii="Arial" w:hAnsi="Arial" w:cs="Arial"/>
          <w:b/>
          <w:sz w:val="22"/>
          <w:szCs w:val="22"/>
        </w:rPr>
      </w:pPr>
    </w:p>
    <w:p w14:paraId="5E67320B" w14:textId="27AE9629" w:rsidR="003D3A0F" w:rsidRDefault="00074E57" w:rsidP="00983D5A">
      <w:pPr>
        <w:suppressAutoHyphens/>
        <w:spacing w:line="270" w:lineRule="exact"/>
        <w:jc w:val="both"/>
        <w:rPr>
          <w:rFonts w:ascii="Arial" w:hAnsi="Arial" w:cs="Arial"/>
          <w:sz w:val="20"/>
        </w:rPr>
      </w:pPr>
      <w:r>
        <w:rPr>
          <w:rFonts w:ascii="Arial" w:hAnsi="Arial" w:cs="Arial"/>
          <w:sz w:val="20"/>
        </w:rPr>
        <w:t>Le</w:t>
      </w:r>
      <w:r w:rsidR="004B6507">
        <w:rPr>
          <w:rFonts w:ascii="Arial" w:hAnsi="Arial" w:cs="Arial"/>
          <w:sz w:val="20"/>
        </w:rPr>
        <w:t xml:space="preserve"> Japon</w:t>
      </w:r>
      <w:r>
        <w:rPr>
          <w:rFonts w:ascii="Arial" w:hAnsi="Arial" w:cs="Arial"/>
          <w:sz w:val="20"/>
        </w:rPr>
        <w:t xml:space="preserve"> a connu 20 ans de « </w:t>
      </w:r>
      <w:proofErr w:type="spellStart"/>
      <w:r>
        <w:rPr>
          <w:rFonts w:ascii="Arial" w:hAnsi="Arial" w:cs="Arial"/>
          <w:sz w:val="20"/>
        </w:rPr>
        <w:t>low-flation</w:t>
      </w:r>
      <w:proofErr w:type="spellEnd"/>
      <w:r>
        <w:rPr>
          <w:rFonts w:ascii="Arial" w:hAnsi="Arial" w:cs="Arial"/>
          <w:sz w:val="20"/>
        </w:rPr>
        <w:t xml:space="preserve"> » : </w:t>
      </w:r>
      <w:r w:rsidR="004B6507">
        <w:rPr>
          <w:rFonts w:ascii="Arial" w:hAnsi="Arial" w:cs="Arial"/>
          <w:sz w:val="20"/>
        </w:rPr>
        <w:t xml:space="preserve">entre 1990 et 2010, la croissance a été en moyenne de </w:t>
      </w:r>
      <w:r w:rsidR="00D922F7">
        <w:rPr>
          <w:rFonts w:ascii="Arial" w:hAnsi="Arial" w:cs="Arial"/>
          <w:sz w:val="20"/>
        </w:rPr>
        <w:t>+</w:t>
      </w:r>
      <w:r w:rsidR="004B6507">
        <w:rPr>
          <w:rFonts w:ascii="Arial" w:hAnsi="Arial" w:cs="Arial"/>
          <w:sz w:val="20"/>
        </w:rPr>
        <w:t xml:space="preserve">1% et l’inflation de </w:t>
      </w:r>
      <w:r w:rsidR="00D922F7">
        <w:rPr>
          <w:rFonts w:ascii="Arial" w:hAnsi="Arial" w:cs="Arial"/>
          <w:sz w:val="20"/>
        </w:rPr>
        <w:t>+</w:t>
      </w:r>
      <w:r w:rsidR="004B6507">
        <w:rPr>
          <w:rFonts w:ascii="Arial" w:hAnsi="Arial" w:cs="Arial"/>
          <w:sz w:val="20"/>
        </w:rPr>
        <w:t xml:space="preserve">0,3%. </w:t>
      </w:r>
      <w:r w:rsidR="00D922F7">
        <w:rPr>
          <w:rFonts w:ascii="Arial" w:hAnsi="Arial" w:cs="Arial"/>
          <w:sz w:val="20"/>
        </w:rPr>
        <w:t xml:space="preserve">En </w:t>
      </w:r>
      <w:r w:rsidR="00983D5A">
        <w:rPr>
          <w:rFonts w:ascii="Arial" w:hAnsi="Arial" w:cs="Arial"/>
          <w:sz w:val="20"/>
        </w:rPr>
        <w:t>surchauffe</w:t>
      </w:r>
      <w:r w:rsidR="00D922F7">
        <w:rPr>
          <w:rFonts w:ascii="Arial" w:hAnsi="Arial" w:cs="Arial"/>
          <w:sz w:val="20"/>
        </w:rPr>
        <w:t xml:space="preserve"> </w:t>
      </w:r>
      <w:r w:rsidR="004B6507">
        <w:rPr>
          <w:rFonts w:ascii="Arial" w:hAnsi="Arial" w:cs="Arial"/>
          <w:sz w:val="20"/>
        </w:rPr>
        <w:t>depuis</w:t>
      </w:r>
      <w:r w:rsidR="00BE0EE5">
        <w:rPr>
          <w:rFonts w:ascii="Arial" w:hAnsi="Arial" w:cs="Arial"/>
          <w:sz w:val="20"/>
        </w:rPr>
        <w:t xml:space="preserve"> </w:t>
      </w:r>
      <w:r w:rsidR="004B6507">
        <w:rPr>
          <w:rFonts w:ascii="Arial" w:hAnsi="Arial" w:cs="Arial"/>
          <w:sz w:val="20"/>
        </w:rPr>
        <w:t>les années 1980</w:t>
      </w:r>
      <w:r w:rsidR="009570DC">
        <w:rPr>
          <w:rFonts w:ascii="Arial" w:hAnsi="Arial" w:cs="Arial"/>
          <w:sz w:val="20"/>
        </w:rPr>
        <w:t>,</w:t>
      </w:r>
      <w:r w:rsidR="004B6507">
        <w:rPr>
          <w:rFonts w:ascii="Arial" w:hAnsi="Arial" w:cs="Arial"/>
          <w:sz w:val="20"/>
        </w:rPr>
        <w:t xml:space="preserve"> suite à l’ouverture de son économie, </w:t>
      </w:r>
      <w:r>
        <w:rPr>
          <w:rFonts w:ascii="Arial" w:hAnsi="Arial" w:cs="Arial"/>
          <w:sz w:val="20"/>
        </w:rPr>
        <w:t xml:space="preserve">le Japon a </w:t>
      </w:r>
      <w:r w:rsidR="00137F76">
        <w:rPr>
          <w:rFonts w:ascii="Arial" w:hAnsi="Arial" w:cs="Arial"/>
          <w:sz w:val="20"/>
        </w:rPr>
        <w:t xml:space="preserve">subi </w:t>
      </w:r>
      <w:r>
        <w:rPr>
          <w:rFonts w:ascii="Arial" w:hAnsi="Arial" w:cs="Arial"/>
          <w:sz w:val="20"/>
        </w:rPr>
        <w:t xml:space="preserve">une </w:t>
      </w:r>
      <w:r w:rsidR="00911CEF">
        <w:rPr>
          <w:rFonts w:ascii="Arial" w:hAnsi="Arial" w:cs="Arial"/>
          <w:sz w:val="20"/>
        </w:rPr>
        <w:t>première vague de défaillances</w:t>
      </w:r>
      <w:r w:rsidR="00387DB2">
        <w:rPr>
          <w:rFonts w:ascii="Arial" w:hAnsi="Arial" w:cs="Arial"/>
          <w:sz w:val="20"/>
        </w:rPr>
        <w:t xml:space="preserve"> au début des années 1990</w:t>
      </w:r>
      <w:r w:rsidR="00911CEF">
        <w:rPr>
          <w:rFonts w:ascii="Arial" w:hAnsi="Arial" w:cs="Arial"/>
          <w:sz w:val="20"/>
        </w:rPr>
        <w:t>. P</w:t>
      </w:r>
      <w:r w:rsidR="00137F76">
        <w:rPr>
          <w:rFonts w:ascii="Arial" w:hAnsi="Arial" w:cs="Arial"/>
          <w:sz w:val="20"/>
        </w:rPr>
        <w:t>eu rentables, endettées et en situation de surcapacités,</w:t>
      </w:r>
      <w:r w:rsidR="00911CEF">
        <w:rPr>
          <w:rFonts w:ascii="Arial" w:hAnsi="Arial" w:cs="Arial"/>
          <w:sz w:val="20"/>
        </w:rPr>
        <w:t xml:space="preserve"> beaucoup d’entreprises ont</w:t>
      </w:r>
      <w:r w:rsidR="00D922F7">
        <w:rPr>
          <w:rFonts w:ascii="Arial" w:hAnsi="Arial" w:cs="Arial"/>
          <w:sz w:val="20"/>
        </w:rPr>
        <w:t xml:space="preserve"> alo</w:t>
      </w:r>
      <w:bookmarkStart w:id="0" w:name="_GoBack"/>
      <w:bookmarkEnd w:id="0"/>
      <w:r w:rsidR="00D922F7">
        <w:rPr>
          <w:rFonts w:ascii="Arial" w:hAnsi="Arial" w:cs="Arial"/>
          <w:sz w:val="20"/>
        </w:rPr>
        <w:t>rs</w:t>
      </w:r>
      <w:r w:rsidR="00911CEF">
        <w:rPr>
          <w:rFonts w:ascii="Arial" w:hAnsi="Arial" w:cs="Arial"/>
          <w:sz w:val="20"/>
        </w:rPr>
        <w:t xml:space="preserve"> </w:t>
      </w:r>
      <w:r w:rsidR="00D922F7">
        <w:rPr>
          <w:rFonts w:ascii="Arial" w:hAnsi="Arial" w:cs="Arial"/>
          <w:sz w:val="20"/>
        </w:rPr>
        <w:t xml:space="preserve">subi </w:t>
      </w:r>
      <w:r w:rsidR="00D82CF3">
        <w:rPr>
          <w:rFonts w:ascii="Arial" w:hAnsi="Arial" w:cs="Arial"/>
          <w:sz w:val="20"/>
        </w:rPr>
        <w:t xml:space="preserve">un resserrement des conditions de crédit </w:t>
      </w:r>
      <w:r w:rsidR="00D922F7">
        <w:rPr>
          <w:rFonts w:ascii="Arial" w:hAnsi="Arial" w:cs="Arial"/>
          <w:sz w:val="20"/>
        </w:rPr>
        <w:t>d</w:t>
      </w:r>
      <w:r w:rsidR="00D82CF3">
        <w:rPr>
          <w:rFonts w:ascii="Arial" w:hAnsi="Arial" w:cs="Arial"/>
          <w:sz w:val="20"/>
        </w:rPr>
        <w:t>es banques, elles-mêmes</w:t>
      </w:r>
      <w:r w:rsidR="00137F76">
        <w:rPr>
          <w:rFonts w:ascii="Arial" w:hAnsi="Arial" w:cs="Arial"/>
          <w:sz w:val="20"/>
        </w:rPr>
        <w:t xml:space="preserve"> </w:t>
      </w:r>
      <w:r w:rsidR="001608BD">
        <w:rPr>
          <w:rFonts w:ascii="Arial" w:hAnsi="Arial" w:cs="Arial"/>
          <w:sz w:val="20"/>
        </w:rPr>
        <w:t>affaiblies par une inflation rampante</w:t>
      </w:r>
      <w:r w:rsidR="00911CEF">
        <w:rPr>
          <w:rFonts w:ascii="Arial" w:hAnsi="Arial" w:cs="Arial"/>
          <w:sz w:val="20"/>
        </w:rPr>
        <w:t>, puis par la déflation.</w:t>
      </w:r>
      <w:r w:rsidR="001608BD">
        <w:rPr>
          <w:rFonts w:ascii="Arial" w:hAnsi="Arial" w:cs="Arial"/>
          <w:sz w:val="20"/>
        </w:rPr>
        <w:t xml:space="preserve"> </w:t>
      </w:r>
      <w:r w:rsidR="0002548E">
        <w:rPr>
          <w:rFonts w:ascii="Arial" w:hAnsi="Arial" w:cs="Arial"/>
          <w:sz w:val="20"/>
        </w:rPr>
        <w:t>Après</w:t>
      </w:r>
      <w:r w:rsidR="0002548E" w:rsidRPr="0002548E">
        <w:rPr>
          <w:rFonts w:ascii="Arial" w:hAnsi="Arial" w:cs="Arial"/>
          <w:sz w:val="20"/>
        </w:rPr>
        <w:t xml:space="preserve"> </w:t>
      </w:r>
      <w:r w:rsidR="00D922F7">
        <w:rPr>
          <w:rFonts w:ascii="Arial" w:hAnsi="Arial" w:cs="Arial"/>
          <w:sz w:val="20"/>
        </w:rPr>
        <w:t xml:space="preserve">un bref </w:t>
      </w:r>
      <w:r w:rsidR="00983D5A">
        <w:rPr>
          <w:rFonts w:ascii="Arial" w:hAnsi="Arial" w:cs="Arial"/>
          <w:sz w:val="20"/>
        </w:rPr>
        <w:t>répit</w:t>
      </w:r>
      <w:r w:rsidR="0002548E" w:rsidRPr="0002548E">
        <w:rPr>
          <w:rFonts w:ascii="Arial" w:hAnsi="Arial" w:cs="Arial"/>
          <w:sz w:val="20"/>
        </w:rPr>
        <w:t xml:space="preserve"> en 1997</w:t>
      </w:r>
      <w:r w:rsidR="00D922F7">
        <w:rPr>
          <w:rFonts w:ascii="Arial" w:hAnsi="Arial" w:cs="Arial"/>
          <w:sz w:val="20"/>
        </w:rPr>
        <w:t>, année au cours de laquelle</w:t>
      </w:r>
      <w:r w:rsidR="0002548E" w:rsidRPr="0002548E">
        <w:rPr>
          <w:rFonts w:ascii="Arial" w:hAnsi="Arial" w:cs="Arial"/>
          <w:sz w:val="20"/>
        </w:rPr>
        <w:t xml:space="preserve"> </w:t>
      </w:r>
      <w:r w:rsidR="00D71E02">
        <w:rPr>
          <w:rFonts w:ascii="Arial" w:hAnsi="Arial" w:cs="Arial"/>
          <w:sz w:val="20"/>
        </w:rPr>
        <w:t>les prix ont pu</w:t>
      </w:r>
      <w:r w:rsidR="0002548E" w:rsidRPr="0002548E">
        <w:rPr>
          <w:rFonts w:ascii="Arial" w:hAnsi="Arial" w:cs="Arial"/>
          <w:sz w:val="20"/>
        </w:rPr>
        <w:t xml:space="preserve"> repartir </w:t>
      </w:r>
      <w:r w:rsidR="00D922F7">
        <w:rPr>
          <w:rFonts w:ascii="Arial" w:hAnsi="Arial" w:cs="Arial"/>
          <w:sz w:val="20"/>
        </w:rPr>
        <w:t xml:space="preserve">à la hausse </w:t>
      </w:r>
      <w:r w:rsidR="0002548E" w:rsidRPr="0002548E">
        <w:rPr>
          <w:rFonts w:ascii="Arial" w:hAnsi="Arial" w:cs="Arial"/>
          <w:sz w:val="20"/>
        </w:rPr>
        <w:t xml:space="preserve">grâce à l’augmentation du taux de la </w:t>
      </w:r>
      <w:r w:rsidR="009570DC">
        <w:rPr>
          <w:rFonts w:ascii="Arial" w:hAnsi="Arial" w:cs="Arial"/>
          <w:sz w:val="20"/>
        </w:rPr>
        <w:t>TVA</w:t>
      </w:r>
      <w:r w:rsidR="0002548E" w:rsidRPr="0002548E">
        <w:rPr>
          <w:rFonts w:ascii="Arial" w:hAnsi="Arial" w:cs="Arial"/>
          <w:sz w:val="20"/>
        </w:rPr>
        <w:t xml:space="preserve">, </w:t>
      </w:r>
      <w:r w:rsidR="00D71E02">
        <w:rPr>
          <w:rFonts w:ascii="Arial" w:hAnsi="Arial" w:cs="Arial"/>
          <w:sz w:val="20"/>
        </w:rPr>
        <w:t>la période de</w:t>
      </w:r>
      <w:r w:rsidR="0002548E" w:rsidRPr="0002548E">
        <w:rPr>
          <w:rFonts w:ascii="Arial" w:hAnsi="Arial" w:cs="Arial"/>
          <w:sz w:val="20"/>
        </w:rPr>
        <w:t xml:space="preserve"> </w:t>
      </w:r>
      <w:r w:rsidR="00D922F7">
        <w:rPr>
          <w:rFonts w:ascii="Arial" w:hAnsi="Arial" w:cs="Arial"/>
          <w:sz w:val="20"/>
        </w:rPr>
        <w:t>« </w:t>
      </w:r>
      <w:proofErr w:type="spellStart"/>
      <w:r w:rsidR="00D922F7">
        <w:rPr>
          <w:rFonts w:ascii="Arial" w:hAnsi="Arial" w:cs="Arial"/>
          <w:sz w:val="20"/>
        </w:rPr>
        <w:t>low-flation</w:t>
      </w:r>
      <w:proofErr w:type="spellEnd"/>
      <w:r w:rsidR="00D922F7">
        <w:rPr>
          <w:rFonts w:ascii="Arial" w:hAnsi="Arial" w:cs="Arial"/>
          <w:sz w:val="20"/>
        </w:rPr>
        <w:t xml:space="preserve"> » </w:t>
      </w:r>
      <w:r w:rsidR="00D71E02">
        <w:rPr>
          <w:rFonts w:ascii="Arial" w:hAnsi="Arial" w:cs="Arial"/>
          <w:sz w:val="20"/>
        </w:rPr>
        <w:t xml:space="preserve">s’est prolongée </w:t>
      </w:r>
      <w:r w:rsidR="00983D5A">
        <w:rPr>
          <w:rFonts w:ascii="Arial" w:hAnsi="Arial" w:cs="Arial"/>
          <w:sz w:val="20"/>
        </w:rPr>
        <w:t>jusqu’en 2010,</w:t>
      </w:r>
      <w:r w:rsidR="00982362">
        <w:rPr>
          <w:rFonts w:ascii="Arial" w:hAnsi="Arial" w:cs="Arial"/>
          <w:sz w:val="20"/>
        </w:rPr>
        <w:t xml:space="preserve"> avec un nouveau pic de défaillances en 2001, provoqué par la restructuration des banques.</w:t>
      </w:r>
    </w:p>
    <w:p w14:paraId="35E769A3" w14:textId="77777777" w:rsidR="003D3A0F" w:rsidRDefault="003D3A0F" w:rsidP="00983D5A">
      <w:pPr>
        <w:suppressAutoHyphens/>
        <w:spacing w:line="270" w:lineRule="exact"/>
        <w:jc w:val="both"/>
        <w:rPr>
          <w:rFonts w:ascii="Arial" w:hAnsi="Arial" w:cs="Arial"/>
          <w:sz w:val="20"/>
        </w:rPr>
      </w:pPr>
    </w:p>
    <w:p w14:paraId="13F5CADB" w14:textId="6B077C1A" w:rsidR="00D34995" w:rsidRDefault="00982362" w:rsidP="00983D5A">
      <w:pPr>
        <w:suppressAutoHyphens/>
        <w:spacing w:line="270" w:lineRule="exact"/>
        <w:jc w:val="both"/>
        <w:rPr>
          <w:rFonts w:ascii="Arial" w:hAnsi="Arial" w:cs="Arial"/>
          <w:sz w:val="20"/>
        </w:rPr>
      </w:pPr>
      <w:r>
        <w:rPr>
          <w:rFonts w:ascii="Arial" w:hAnsi="Arial" w:cs="Arial"/>
          <w:sz w:val="20"/>
        </w:rPr>
        <w:t>Plusieurs facteurs expliquent ce</w:t>
      </w:r>
      <w:r w:rsidR="00D922F7">
        <w:rPr>
          <w:rFonts w:ascii="Arial" w:hAnsi="Arial" w:cs="Arial"/>
          <w:sz w:val="20"/>
        </w:rPr>
        <w:t>tte</w:t>
      </w:r>
      <w:r>
        <w:rPr>
          <w:rFonts w:ascii="Arial" w:hAnsi="Arial" w:cs="Arial"/>
          <w:sz w:val="20"/>
        </w:rPr>
        <w:t xml:space="preserve"> longue </w:t>
      </w:r>
      <w:r w:rsidR="00D922F7">
        <w:rPr>
          <w:rFonts w:ascii="Arial" w:hAnsi="Arial" w:cs="Arial"/>
          <w:sz w:val="20"/>
        </w:rPr>
        <w:t>période de stagnation des prix</w:t>
      </w:r>
      <w:r>
        <w:rPr>
          <w:rFonts w:ascii="Arial" w:hAnsi="Arial" w:cs="Arial"/>
          <w:sz w:val="20"/>
        </w:rPr>
        <w:t xml:space="preserve">. </w:t>
      </w:r>
      <w:r w:rsidR="00496A06">
        <w:rPr>
          <w:rFonts w:ascii="Arial" w:hAnsi="Arial" w:cs="Arial"/>
          <w:sz w:val="20"/>
        </w:rPr>
        <w:t>D’abord</w:t>
      </w:r>
      <w:r>
        <w:rPr>
          <w:rFonts w:ascii="Arial" w:hAnsi="Arial" w:cs="Arial"/>
          <w:sz w:val="20"/>
        </w:rPr>
        <w:t xml:space="preserve">, </w:t>
      </w:r>
      <w:r w:rsidR="00D922F7">
        <w:rPr>
          <w:rFonts w:ascii="Arial" w:hAnsi="Arial" w:cs="Arial"/>
          <w:sz w:val="20"/>
        </w:rPr>
        <w:t xml:space="preserve">la </w:t>
      </w:r>
      <w:r>
        <w:rPr>
          <w:rFonts w:ascii="Arial" w:hAnsi="Arial" w:cs="Arial"/>
          <w:sz w:val="20"/>
        </w:rPr>
        <w:t>consolid</w:t>
      </w:r>
      <w:r w:rsidR="00D922F7">
        <w:rPr>
          <w:rFonts w:ascii="Arial" w:hAnsi="Arial" w:cs="Arial"/>
          <w:sz w:val="20"/>
        </w:rPr>
        <w:t xml:space="preserve">ation du </w:t>
      </w:r>
      <w:r>
        <w:rPr>
          <w:rFonts w:ascii="Arial" w:hAnsi="Arial" w:cs="Arial"/>
          <w:sz w:val="20"/>
        </w:rPr>
        <w:t>système bancaire</w:t>
      </w:r>
      <w:r w:rsidR="00D922F7">
        <w:rPr>
          <w:rFonts w:ascii="Arial" w:hAnsi="Arial" w:cs="Arial"/>
          <w:sz w:val="20"/>
        </w:rPr>
        <w:t xml:space="preserve"> est intervenue trop tardivement</w:t>
      </w:r>
      <w:r>
        <w:rPr>
          <w:rFonts w:ascii="Arial" w:hAnsi="Arial" w:cs="Arial"/>
          <w:sz w:val="20"/>
        </w:rPr>
        <w:t xml:space="preserve">. </w:t>
      </w:r>
      <w:r w:rsidR="00496A06">
        <w:rPr>
          <w:rFonts w:ascii="Arial" w:hAnsi="Arial" w:cs="Arial"/>
          <w:sz w:val="20"/>
        </w:rPr>
        <w:t>Ensuite</w:t>
      </w:r>
      <w:r w:rsidR="00043252">
        <w:rPr>
          <w:rFonts w:ascii="Arial" w:hAnsi="Arial" w:cs="Arial"/>
          <w:sz w:val="20"/>
        </w:rPr>
        <w:t>,</w:t>
      </w:r>
      <w:r>
        <w:rPr>
          <w:rFonts w:ascii="Arial" w:hAnsi="Arial" w:cs="Arial"/>
          <w:sz w:val="20"/>
        </w:rPr>
        <w:t xml:space="preserve"> </w:t>
      </w:r>
      <w:r w:rsidR="00D34995">
        <w:rPr>
          <w:rFonts w:ascii="Arial" w:hAnsi="Arial" w:cs="Arial"/>
          <w:sz w:val="20"/>
        </w:rPr>
        <w:t xml:space="preserve">la politique de </w:t>
      </w:r>
      <w:r w:rsidR="00D922F7">
        <w:rPr>
          <w:rFonts w:ascii="Arial" w:hAnsi="Arial" w:cs="Arial"/>
          <w:sz w:val="20"/>
        </w:rPr>
        <w:t>« </w:t>
      </w:r>
      <w:r w:rsidR="00D34995">
        <w:rPr>
          <w:rFonts w:ascii="Arial" w:hAnsi="Arial" w:cs="Arial"/>
          <w:sz w:val="20"/>
        </w:rPr>
        <w:t>taux zéro</w:t>
      </w:r>
      <w:r w:rsidR="00D922F7">
        <w:rPr>
          <w:rFonts w:ascii="Arial" w:hAnsi="Arial" w:cs="Arial"/>
          <w:sz w:val="20"/>
        </w:rPr>
        <w:t> »</w:t>
      </w:r>
      <w:r w:rsidR="00D34995">
        <w:rPr>
          <w:rFonts w:ascii="Arial" w:hAnsi="Arial" w:cs="Arial"/>
          <w:sz w:val="20"/>
        </w:rPr>
        <w:t xml:space="preserve"> de la B</w:t>
      </w:r>
      <w:r w:rsidR="00D922F7">
        <w:rPr>
          <w:rFonts w:ascii="Arial" w:hAnsi="Arial" w:cs="Arial"/>
          <w:sz w:val="20"/>
        </w:rPr>
        <w:t>anque du Japon</w:t>
      </w:r>
      <w:r w:rsidR="00D34995">
        <w:rPr>
          <w:rFonts w:ascii="Arial" w:hAnsi="Arial" w:cs="Arial"/>
          <w:sz w:val="20"/>
        </w:rPr>
        <w:t xml:space="preserve"> </w:t>
      </w:r>
      <w:r w:rsidR="00496A06">
        <w:rPr>
          <w:rFonts w:ascii="Arial" w:hAnsi="Arial" w:cs="Arial"/>
          <w:sz w:val="20"/>
        </w:rPr>
        <w:t xml:space="preserve">s’est révélée inefficace, </w:t>
      </w:r>
      <w:r w:rsidR="00D34995">
        <w:rPr>
          <w:rFonts w:ascii="Arial" w:hAnsi="Arial" w:cs="Arial"/>
          <w:sz w:val="20"/>
        </w:rPr>
        <w:t>l’abondance de monnaie n’a</w:t>
      </w:r>
      <w:r w:rsidR="00496A06">
        <w:rPr>
          <w:rFonts w:ascii="Arial" w:hAnsi="Arial" w:cs="Arial"/>
          <w:sz w:val="20"/>
        </w:rPr>
        <w:t>yant</w:t>
      </w:r>
      <w:r w:rsidR="00D34995">
        <w:rPr>
          <w:rFonts w:ascii="Arial" w:hAnsi="Arial" w:cs="Arial"/>
          <w:sz w:val="20"/>
        </w:rPr>
        <w:t xml:space="preserve"> pas d’effet sur l’économie réelle. Enfin, la croissance réelle japonaise étant inférieure à sa croissance potentielle</w:t>
      </w:r>
      <w:r w:rsidR="00043252">
        <w:rPr>
          <w:rFonts w:ascii="Arial" w:hAnsi="Arial" w:cs="Arial"/>
          <w:sz w:val="20"/>
        </w:rPr>
        <w:t xml:space="preserve"> durant cette période</w:t>
      </w:r>
      <w:r w:rsidR="00D34995">
        <w:rPr>
          <w:rFonts w:ascii="Arial" w:hAnsi="Arial" w:cs="Arial"/>
          <w:sz w:val="20"/>
        </w:rPr>
        <w:t>, la production non-utilisée a tiré les prix vers le bas.</w:t>
      </w:r>
    </w:p>
    <w:p w14:paraId="1A306999" w14:textId="77777777" w:rsidR="00D34995" w:rsidRPr="002C542C" w:rsidRDefault="00D34995" w:rsidP="00983D5A">
      <w:pPr>
        <w:suppressAutoHyphens/>
        <w:spacing w:line="270" w:lineRule="exact"/>
        <w:jc w:val="both"/>
        <w:rPr>
          <w:rFonts w:ascii="Arial" w:hAnsi="Arial" w:cs="Arial"/>
          <w:b/>
          <w:sz w:val="20"/>
        </w:rPr>
      </w:pPr>
    </w:p>
    <w:p w14:paraId="1B2EF045" w14:textId="00E204B0" w:rsidR="004E7145" w:rsidRDefault="004E7145" w:rsidP="00983D5A">
      <w:pPr>
        <w:suppressAutoHyphens/>
        <w:spacing w:line="270" w:lineRule="exact"/>
        <w:jc w:val="both"/>
        <w:rPr>
          <w:rFonts w:ascii="Arial" w:hAnsi="Arial" w:cs="Arial"/>
          <w:b/>
          <w:sz w:val="22"/>
          <w:szCs w:val="22"/>
        </w:rPr>
      </w:pPr>
      <w:r>
        <w:rPr>
          <w:rFonts w:ascii="Arial" w:hAnsi="Arial" w:cs="Arial"/>
          <w:b/>
          <w:sz w:val="22"/>
          <w:szCs w:val="22"/>
        </w:rPr>
        <w:t>Si le risque de déflation profonde est à relativiser, ce</w:t>
      </w:r>
      <w:r w:rsidR="00983D5A">
        <w:rPr>
          <w:rFonts w:ascii="Arial" w:hAnsi="Arial" w:cs="Arial"/>
          <w:b/>
          <w:sz w:val="22"/>
          <w:szCs w:val="22"/>
        </w:rPr>
        <w:t>lui</w:t>
      </w:r>
      <w:r>
        <w:rPr>
          <w:rFonts w:ascii="Arial" w:hAnsi="Arial" w:cs="Arial"/>
          <w:b/>
          <w:sz w:val="22"/>
          <w:szCs w:val="22"/>
        </w:rPr>
        <w:t xml:space="preserve"> d’une période prolongée de</w:t>
      </w:r>
      <w:r w:rsidR="00983D5A">
        <w:rPr>
          <w:rFonts w:ascii="Arial" w:hAnsi="Arial" w:cs="Arial"/>
          <w:b/>
          <w:sz w:val="22"/>
          <w:szCs w:val="22"/>
        </w:rPr>
        <w:t xml:space="preserve"> « </w:t>
      </w:r>
      <w:proofErr w:type="spellStart"/>
      <w:r w:rsidR="00983D5A">
        <w:rPr>
          <w:rFonts w:ascii="Arial" w:hAnsi="Arial" w:cs="Arial"/>
          <w:b/>
          <w:sz w:val="22"/>
          <w:szCs w:val="22"/>
        </w:rPr>
        <w:t>l</w:t>
      </w:r>
      <w:r>
        <w:rPr>
          <w:rFonts w:ascii="Arial" w:hAnsi="Arial" w:cs="Arial"/>
          <w:b/>
          <w:sz w:val="22"/>
          <w:szCs w:val="22"/>
        </w:rPr>
        <w:t>ow-flation</w:t>
      </w:r>
      <w:proofErr w:type="spellEnd"/>
      <w:r>
        <w:rPr>
          <w:rFonts w:ascii="Arial" w:hAnsi="Arial" w:cs="Arial"/>
          <w:b/>
          <w:sz w:val="22"/>
          <w:szCs w:val="22"/>
        </w:rPr>
        <w:t> à la japonaise » est réel</w:t>
      </w:r>
    </w:p>
    <w:p w14:paraId="6C93BD57" w14:textId="77777777" w:rsidR="004E7145" w:rsidRDefault="004E7145" w:rsidP="00983D5A">
      <w:pPr>
        <w:suppressAutoHyphens/>
        <w:spacing w:line="270" w:lineRule="exact"/>
        <w:jc w:val="both"/>
        <w:rPr>
          <w:rFonts w:ascii="Arial" w:hAnsi="Arial" w:cs="Arial"/>
          <w:b/>
          <w:sz w:val="22"/>
          <w:szCs w:val="22"/>
        </w:rPr>
      </w:pPr>
    </w:p>
    <w:p w14:paraId="7D8E11F1" w14:textId="5ACABBC6" w:rsidR="004E7145" w:rsidRDefault="004E7145" w:rsidP="00983D5A">
      <w:pPr>
        <w:suppressAutoHyphens/>
        <w:spacing w:line="270" w:lineRule="exact"/>
        <w:jc w:val="both"/>
        <w:rPr>
          <w:rFonts w:ascii="Arial" w:hAnsi="Arial" w:cs="Arial"/>
          <w:sz w:val="20"/>
        </w:rPr>
      </w:pPr>
      <w:r>
        <w:rPr>
          <w:rFonts w:ascii="Arial" w:hAnsi="Arial" w:cs="Arial"/>
          <w:sz w:val="20"/>
        </w:rPr>
        <w:t>Plusieurs raisons</w:t>
      </w:r>
      <w:r w:rsidRPr="00E178A9">
        <w:rPr>
          <w:rFonts w:ascii="Arial" w:hAnsi="Arial" w:cs="Arial"/>
          <w:sz w:val="20"/>
        </w:rPr>
        <w:t xml:space="preserve"> laissent penser que la France a les moyens d’éviter </w:t>
      </w:r>
      <w:r>
        <w:rPr>
          <w:rFonts w:ascii="Arial" w:hAnsi="Arial" w:cs="Arial"/>
          <w:sz w:val="20"/>
        </w:rPr>
        <w:t xml:space="preserve">la véritable déflation. La relative résilience des salaires en est une. La disponibilité de liquidités abondantes et peu chères et d’une banque centrale innovante et présente </w:t>
      </w:r>
      <w:r w:rsidRPr="00C66954">
        <w:rPr>
          <w:rFonts w:ascii="Arial" w:hAnsi="Arial" w:cs="Arial"/>
          <w:sz w:val="20"/>
        </w:rPr>
        <w:t>pour garantir la stabilité financière</w:t>
      </w:r>
      <w:r>
        <w:rPr>
          <w:rFonts w:ascii="Arial" w:hAnsi="Arial" w:cs="Arial"/>
          <w:sz w:val="20"/>
        </w:rPr>
        <w:t xml:space="preserve"> est également un facteur de soutien des prix. Voilà</w:t>
      </w:r>
      <w:r w:rsidRPr="00C66954">
        <w:rPr>
          <w:rFonts w:ascii="Arial" w:hAnsi="Arial" w:cs="Arial"/>
          <w:sz w:val="20"/>
        </w:rPr>
        <w:t xml:space="preserve"> ce qui a cruellement manqué dans les années 1930, voilà ce qui devrait permettre </w:t>
      </w:r>
      <w:r>
        <w:rPr>
          <w:rFonts w:ascii="Arial" w:hAnsi="Arial" w:cs="Arial"/>
          <w:sz w:val="20"/>
        </w:rPr>
        <w:t xml:space="preserve">à la zone euro d’échapper au </w:t>
      </w:r>
      <w:r w:rsidRPr="00C66954">
        <w:rPr>
          <w:rFonts w:ascii="Arial" w:hAnsi="Arial" w:cs="Arial"/>
          <w:sz w:val="20"/>
        </w:rPr>
        <w:t>piège déflationniste</w:t>
      </w:r>
      <w:r>
        <w:rPr>
          <w:rFonts w:ascii="Arial" w:hAnsi="Arial" w:cs="Arial"/>
          <w:sz w:val="20"/>
        </w:rPr>
        <w:t>.</w:t>
      </w:r>
      <w:r w:rsidRPr="00C66954">
        <w:rPr>
          <w:rFonts w:ascii="Arial" w:hAnsi="Arial" w:cs="Arial"/>
          <w:sz w:val="20"/>
        </w:rPr>
        <w:t xml:space="preserve"> </w:t>
      </w:r>
    </w:p>
    <w:p w14:paraId="4E53553E" w14:textId="77777777" w:rsidR="004E7145" w:rsidRDefault="004E7145" w:rsidP="00983D5A">
      <w:pPr>
        <w:suppressAutoHyphens/>
        <w:spacing w:line="270" w:lineRule="exact"/>
        <w:jc w:val="both"/>
        <w:rPr>
          <w:rFonts w:ascii="Arial" w:hAnsi="Arial" w:cs="Arial"/>
          <w:sz w:val="20"/>
        </w:rPr>
      </w:pPr>
    </w:p>
    <w:p w14:paraId="6DFA0DC0" w14:textId="669E7774" w:rsidR="004E7145" w:rsidRPr="008C3E6C" w:rsidRDefault="004E7145" w:rsidP="00983D5A">
      <w:pPr>
        <w:suppressAutoHyphens/>
        <w:spacing w:line="270" w:lineRule="exact"/>
        <w:jc w:val="both"/>
        <w:rPr>
          <w:rFonts w:ascii="Arial" w:hAnsi="Arial" w:cs="Arial"/>
          <w:sz w:val="20"/>
          <w:szCs w:val="20"/>
        </w:rPr>
      </w:pPr>
      <w:r w:rsidRPr="00387DB2">
        <w:rPr>
          <w:rFonts w:ascii="Arial" w:hAnsi="Arial" w:cs="Arial"/>
          <w:sz w:val="20"/>
        </w:rPr>
        <w:t xml:space="preserve">En revanche, la probabilité de connaître une période prolongée de « </w:t>
      </w:r>
      <w:proofErr w:type="spellStart"/>
      <w:r w:rsidRPr="00387DB2">
        <w:rPr>
          <w:rFonts w:ascii="Arial" w:hAnsi="Arial" w:cs="Arial"/>
          <w:sz w:val="20"/>
        </w:rPr>
        <w:t>low-flation</w:t>
      </w:r>
      <w:proofErr w:type="spellEnd"/>
      <w:r w:rsidRPr="00387DB2">
        <w:rPr>
          <w:rFonts w:ascii="Arial" w:hAnsi="Arial" w:cs="Arial"/>
          <w:sz w:val="20"/>
        </w:rPr>
        <w:t xml:space="preserve"> » et de croissance faible à l’image de celle observée au Japon à partir des années 1990 semble plus forte. </w:t>
      </w:r>
      <w:r w:rsidR="008C3E6C">
        <w:rPr>
          <w:rFonts w:ascii="Arial" w:hAnsi="Arial" w:cs="Arial"/>
          <w:sz w:val="20"/>
        </w:rPr>
        <w:t>Depuis 2011, la croissance et l’inflation suivent</w:t>
      </w:r>
      <w:r w:rsidR="009570DC">
        <w:rPr>
          <w:rFonts w:ascii="Arial" w:hAnsi="Arial" w:cs="Arial"/>
          <w:sz w:val="20"/>
        </w:rPr>
        <w:t>,</w:t>
      </w:r>
      <w:r w:rsidR="008C3E6C">
        <w:rPr>
          <w:rFonts w:ascii="Arial" w:hAnsi="Arial" w:cs="Arial"/>
          <w:sz w:val="20"/>
        </w:rPr>
        <w:t xml:space="preserve"> en effet</w:t>
      </w:r>
      <w:r w:rsidR="009570DC">
        <w:rPr>
          <w:rFonts w:ascii="Arial" w:hAnsi="Arial" w:cs="Arial"/>
          <w:sz w:val="20"/>
        </w:rPr>
        <w:t>,</w:t>
      </w:r>
      <w:r w:rsidR="008C3E6C">
        <w:rPr>
          <w:rFonts w:ascii="Arial" w:hAnsi="Arial" w:cs="Arial"/>
          <w:sz w:val="20"/>
        </w:rPr>
        <w:t xml:space="preserve"> une tendance baissière. </w:t>
      </w:r>
      <w:r w:rsidR="008C3E6C">
        <w:rPr>
          <w:rFonts w:ascii="Arial" w:hAnsi="Arial" w:cs="Arial"/>
          <w:sz w:val="20"/>
          <w:szCs w:val="20"/>
        </w:rPr>
        <w:lastRenderedPageBreak/>
        <w:t xml:space="preserve">D’après les prévisions de Coface, la croissance du PIB ne devrait pas dépasser 0,4% en 2014 et 0,8% en 2015, c’est-à-dire un niveau nettement inférieur à celui de 2011 (2,1%). De la même manière, les prix à la consommation ont augmenté de seulement 0,5% sur un an (à fin octobre 2014) et l’inflation n’atteindrait que 0,7% en moyenne en 2015, contre 2,3% en 2011. </w:t>
      </w:r>
      <w:r w:rsidRPr="00387DB2">
        <w:rPr>
          <w:rFonts w:ascii="Arial" w:hAnsi="Arial" w:cs="Arial"/>
          <w:sz w:val="20"/>
        </w:rPr>
        <w:t>Plusieurs raisons incitent to</w:t>
      </w:r>
      <w:r>
        <w:rPr>
          <w:rFonts w:ascii="Arial" w:hAnsi="Arial" w:cs="Arial"/>
          <w:sz w:val="20"/>
        </w:rPr>
        <w:t>utefois à relativiser ce risque. L</w:t>
      </w:r>
      <w:r w:rsidRPr="00387DB2">
        <w:rPr>
          <w:rFonts w:ascii="Arial" w:hAnsi="Arial" w:cs="Arial"/>
          <w:sz w:val="20"/>
        </w:rPr>
        <w:t xml:space="preserve">a situation du secteur bancaire français aujourd’hui </w:t>
      </w:r>
      <w:r>
        <w:rPr>
          <w:rFonts w:ascii="Arial" w:hAnsi="Arial" w:cs="Arial"/>
          <w:sz w:val="20"/>
        </w:rPr>
        <w:t xml:space="preserve">ressort </w:t>
      </w:r>
      <w:r w:rsidRPr="00387DB2">
        <w:rPr>
          <w:rFonts w:ascii="Arial" w:hAnsi="Arial" w:cs="Arial"/>
          <w:sz w:val="20"/>
        </w:rPr>
        <w:t>meilleure que celle des banques japonaises dans l</w:t>
      </w:r>
      <w:r>
        <w:rPr>
          <w:rFonts w:ascii="Arial" w:hAnsi="Arial" w:cs="Arial"/>
          <w:sz w:val="20"/>
        </w:rPr>
        <w:t>es années 1990. E</w:t>
      </w:r>
      <w:r w:rsidRPr="00387DB2">
        <w:rPr>
          <w:rFonts w:ascii="Arial" w:hAnsi="Arial" w:cs="Arial"/>
          <w:sz w:val="20"/>
        </w:rPr>
        <w:t xml:space="preserve">t l’ampleur des excès du secteur immobilier français </w:t>
      </w:r>
      <w:r>
        <w:rPr>
          <w:rFonts w:ascii="Arial" w:hAnsi="Arial" w:cs="Arial"/>
          <w:sz w:val="20"/>
        </w:rPr>
        <w:t xml:space="preserve">est </w:t>
      </w:r>
      <w:r w:rsidRPr="00387DB2">
        <w:rPr>
          <w:rFonts w:ascii="Arial" w:hAnsi="Arial" w:cs="Arial"/>
          <w:sz w:val="20"/>
        </w:rPr>
        <w:t>moindre que celui du Japon de l’époque.</w:t>
      </w:r>
    </w:p>
    <w:p w14:paraId="17A05949" w14:textId="77777777" w:rsidR="004E7145" w:rsidRDefault="004E7145" w:rsidP="00983D5A">
      <w:pPr>
        <w:suppressAutoHyphens/>
        <w:spacing w:line="270" w:lineRule="exact"/>
        <w:jc w:val="both"/>
        <w:rPr>
          <w:rFonts w:ascii="Arial" w:hAnsi="Arial" w:cs="Arial"/>
          <w:b/>
          <w:sz w:val="22"/>
          <w:szCs w:val="22"/>
        </w:rPr>
      </w:pPr>
    </w:p>
    <w:p w14:paraId="1ED2A76E" w14:textId="4BFA144C" w:rsidR="0050679C" w:rsidRDefault="003D72B6" w:rsidP="00983D5A">
      <w:pPr>
        <w:suppressAutoHyphens/>
        <w:spacing w:line="270" w:lineRule="exact"/>
        <w:jc w:val="both"/>
        <w:rPr>
          <w:rFonts w:ascii="Arial" w:hAnsi="Arial" w:cs="Arial"/>
          <w:b/>
          <w:sz w:val="22"/>
          <w:szCs w:val="22"/>
        </w:rPr>
      </w:pPr>
      <w:r>
        <w:rPr>
          <w:rFonts w:ascii="Arial" w:hAnsi="Arial" w:cs="Arial"/>
          <w:b/>
          <w:sz w:val="22"/>
          <w:szCs w:val="22"/>
        </w:rPr>
        <w:t>Q</w:t>
      </w:r>
      <w:r w:rsidR="002E06AD">
        <w:rPr>
          <w:rFonts w:ascii="Arial" w:hAnsi="Arial" w:cs="Arial"/>
          <w:b/>
          <w:sz w:val="22"/>
          <w:szCs w:val="22"/>
        </w:rPr>
        <w:t>uels risques et opportunités</w:t>
      </w:r>
      <w:r w:rsidR="0050679C" w:rsidRPr="00E05647">
        <w:rPr>
          <w:rFonts w:ascii="Arial" w:hAnsi="Arial" w:cs="Arial"/>
          <w:b/>
          <w:sz w:val="22"/>
          <w:szCs w:val="22"/>
        </w:rPr>
        <w:t xml:space="preserve"> pour </w:t>
      </w:r>
      <w:r w:rsidR="002E06AD">
        <w:rPr>
          <w:rFonts w:ascii="Arial" w:hAnsi="Arial" w:cs="Arial"/>
          <w:b/>
          <w:sz w:val="22"/>
          <w:szCs w:val="22"/>
        </w:rPr>
        <w:t xml:space="preserve">les </w:t>
      </w:r>
      <w:r w:rsidR="0050679C" w:rsidRPr="00E05647">
        <w:rPr>
          <w:rFonts w:ascii="Arial" w:hAnsi="Arial" w:cs="Arial"/>
          <w:b/>
          <w:sz w:val="22"/>
          <w:szCs w:val="22"/>
        </w:rPr>
        <w:t>entreprises</w:t>
      </w:r>
      <w:r w:rsidR="002E06AD">
        <w:rPr>
          <w:rFonts w:ascii="Arial" w:hAnsi="Arial" w:cs="Arial"/>
          <w:b/>
          <w:sz w:val="22"/>
          <w:szCs w:val="22"/>
        </w:rPr>
        <w:t xml:space="preserve"> françaises ?</w:t>
      </w:r>
    </w:p>
    <w:p w14:paraId="6A139FA9" w14:textId="77777777" w:rsidR="004E7145" w:rsidRPr="00E05647" w:rsidRDefault="004E7145" w:rsidP="00983D5A">
      <w:pPr>
        <w:suppressAutoHyphens/>
        <w:spacing w:line="270" w:lineRule="exact"/>
        <w:jc w:val="both"/>
        <w:rPr>
          <w:rFonts w:ascii="Arial" w:hAnsi="Arial" w:cs="Arial"/>
          <w:b/>
          <w:sz w:val="22"/>
          <w:szCs w:val="22"/>
        </w:rPr>
      </w:pPr>
    </w:p>
    <w:p w14:paraId="4E680CF6" w14:textId="499B006B" w:rsidR="00CE5172" w:rsidRDefault="0050679C" w:rsidP="00983D5A">
      <w:pPr>
        <w:suppressAutoHyphens/>
        <w:spacing w:line="270" w:lineRule="exact"/>
        <w:jc w:val="both"/>
        <w:rPr>
          <w:rFonts w:ascii="Arial" w:hAnsi="Arial" w:cs="Arial"/>
          <w:sz w:val="20"/>
          <w:szCs w:val="20"/>
        </w:rPr>
      </w:pPr>
      <w:r>
        <w:rPr>
          <w:rFonts w:ascii="Arial" w:hAnsi="Arial" w:cs="Arial"/>
          <w:sz w:val="20"/>
        </w:rPr>
        <w:t>Comme au Japon dans</w:t>
      </w:r>
      <w:r w:rsidR="006C6492">
        <w:rPr>
          <w:rFonts w:ascii="Arial" w:hAnsi="Arial" w:cs="Arial"/>
          <w:sz w:val="20"/>
        </w:rPr>
        <w:t xml:space="preserve"> les années 1990</w:t>
      </w:r>
      <w:r>
        <w:rPr>
          <w:rFonts w:ascii="Arial" w:hAnsi="Arial" w:cs="Arial"/>
          <w:sz w:val="20"/>
        </w:rPr>
        <w:t xml:space="preserve">, </w:t>
      </w:r>
      <w:r w:rsidR="00D34995" w:rsidRPr="002C542C">
        <w:rPr>
          <w:rFonts w:ascii="Arial" w:hAnsi="Arial" w:cs="Arial"/>
          <w:sz w:val="20"/>
        </w:rPr>
        <w:t xml:space="preserve">la </w:t>
      </w:r>
      <w:r w:rsidR="00D34995">
        <w:rPr>
          <w:rFonts w:ascii="Arial" w:hAnsi="Arial" w:cs="Arial"/>
          <w:sz w:val="20"/>
        </w:rPr>
        <w:t>« </w:t>
      </w:r>
      <w:proofErr w:type="spellStart"/>
      <w:r w:rsidR="00D34995">
        <w:rPr>
          <w:rFonts w:ascii="Arial" w:hAnsi="Arial" w:cs="Arial"/>
          <w:sz w:val="20"/>
        </w:rPr>
        <w:t>low-flation</w:t>
      </w:r>
      <w:proofErr w:type="spellEnd"/>
      <w:r w:rsidR="00D34995">
        <w:rPr>
          <w:rFonts w:ascii="Arial" w:hAnsi="Arial" w:cs="Arial"/>
          <w:sz w:val="20"/>
        </w:rPr>
        <w:t> »</w:t>
      </w:r>
      <w:r w:rsidR="00D34995" w:rsidRPr="002C542C">
        <w:rPr>
          <w:rFonts w:ascii="Arial" w:hAnsi="Arial" w:cs="Arial"/>
          <w:sz w:val="20"/>
        </w:rPr>
        <w:t xml:space="preserve"> </w:t>
      </w:r>
      <w:r w:rsidR="006C6492">
        <w:rPr>
          <w:rFonts w:ascii="Arial" w:hAnsi="Arial" w:cs="Arial"/>
          <w:sz w:val="20"/>
        </w:rPr>
        <w:t xml:space="preserve">actuelle </w:t>
      </w:r>
      <w:r>
        <w:rPr>
          <w:rFonts w:ascii="Arial" w:hAnsi="Arial" w:cs="Arial"/>
          <w:sz w:val="20"/>
        </w:rPr>
        <w:t xml:space="preserve">en France </w:t>
      </w:r>
      <w:r w:rsidR="00D34995" w:rsidRPr="002C542C">
        <w:rPr>
          <w:rFonts w:ascii="Arial" w:hAnsi="Arial" w:cs="Arial"/>
          <w:sz w:val="20"/>
        </w:rPr>
        <w:t xml:space="preserve">est </w:t>
      </w:r>
      <w:r w:rsidR="00D34995">
        <w:rPr>
          <w:rFonts w:ascii="Arial" w:hAnsi="Arial" w:cs="Arial"/>
          <w:sz w:val="20"/>
        </w:rPr>
        <w:t>une conséquence indirecte</w:t>
      </w:r>
      <w:r w:rsidR="00190EFF">
        <w:rPr>
          <w:rFonts w:ascii="Arial" w:hAnsi="Arial" w:cs="Arial"/>
          <w:sz w:val="20"/>
        </w:rPr>
        <w:t xml:space="preserve"> de la</w:t>
      </w:r>
      <w:r w:rsidR="00D34995">
        <w:rPr>
          <w:rFonts w:ascii="Arial" w:hAnsi="Arial" w:cs="Arial"/>
          <w:sz w:val="20"/>
        </w:rPr>
        <w:t xml:space="preserve"> crise.</w:t>
      </w:r>
      <w:r w:rsidR="00190EFF">
        <w:rPr>
          <w:rFonts w:ascii="Arial" w:hAnsi="Arial" w:cs="Arial"/>
          <w:sz w:val="20"/>
        </w:rPr>
        <w:t xml:space="preserve"> </w:t>
      </w:r>
    </w:p>
    <w:p w14:paraId="705E77F6" w14:textId="77777777" w:rsidR="00E178A9" w:rsidRDefault="00E178A9" w:rsidP="00983D5A">
      <w:pPr>
        <w:suppressAutoHyphens/>
        <w:spacing w:line="270" w:lineRule="exact"/>
        <w:jc w:val="both"/>
        <w:rPr>
          <w:rFonts w:ascii="Arial" w:hAnsi="Arial" w:cs="Arial"/>
          <w:sz w:val="20"/>
          <w:szCs w:val="20"/>
        </w:rPr>
      </w:pPr>
    </w:p>
    <w:p w14:paraId="12A2AC00" w14:textId="79C563A8" w:rsidR="00E178A9" w:rsidRPr="00E178A9" w:rsidRDefault="00A85017" w:rsidP="00983D5A">
      <w:pPr>
        <w:suppressAutoHyphens/>
        <w:spacing w:line="270" w:lineRule="exact"/>
        <w:jc w:val="both"/>
        <w:rPr>
          <w:rFonts w:ascii="Arial" w:hAnsi="Arial" w:cs="Arial"/>
          <w:sz w:val="20"/>
          <w:szCs w:val="20"/>
        </w:rPr>
      </w:pPr>
      <w:r>
        <w:rPr>
          <w:rFonts w:ascii="Arial" w:hAnsi="Arial" w:cs="Arial"/>
          <w:sz w:val="20"/>
          <w:szCs w:val="20"/>
        </w:rPr>
        <w:t>Cette baisse commune</w:t>
      </w:r>
      <w:r w:rsidR="008C3E6C">
        <w:rPr>
          <w:rFonts w:ascii="Arial" w:hAnsi="Arial" w:cs="Arial"/>
          <w:sz w:val="20"/>
          <w:szCs w:val="20"/>
        </w:rPr>
        <w:t xml:space="preserve"> de la croissance et de l’inflation</w:t>
      </w:r>
      <w:r>
        <w:rPr>
          <w:rFonts w:ascii="Arial" w:hAnsi="Arial" w:cs="Arial"/>
          <w:sz w:val="20"/>
          <w:szCs w:val="20"/>
        </w:rPr>
        <w:t xml:space="preserve"> est principalement le reflet d’une faible demande, ce qui est </w:t>
      </w:r>
      <w:r w:rsidR="00043252">
        <w:rPr>
          <w:rFonts w:ascii="Arial" w:hAnsi="Arial" w:cs="Arial"/>
          <w:sz w:val="20"/>
          <w:szCs w:val="20"/>
        </w:rPr>
        <w:t xml:space="preserve">habituellement </w:t>
      </w:r>
      <w:r>
        <w:rPr>
          <w:rFonts w:ascii="Arial" w:hAnsi="Arial" w:cs="Arial"/>
          <w:sz w:val="20"/>
          <w:szCs w:val="20"/>
        </w:rPr>
        <w:t xml:space="preserve">le cas dans une période consécutive à une ou plusieurs crises. </w:t>
      </w:r>
      <w:r w:rsidR="00E178A9" w:rsidRPr="00E178A9">
        <w:rPr>
          <w:rFonts w:ascii="Arial" w:hAnsi="Arial" w:cs="Arial"/>
          <w:sz w:val="20"/>
          <w:szCs w:val="20"/>
        </w:rPr>
        <w:t xml:space="preserve">L’existence de surcapacités (le taux d’utilisation des capacités de production reste inférieur à sa moyenne d’avant-crise) </w:t>
      </w:r>
      <w:r w:rsidR="00496A06">
        <w:rPr>
          <w:rFonts w:ascii="Arial" w:hAnsi="Arial" w:cs="Arial"/>
          <w:sz w:val="20"/>
          <w:szCs w:val="20"/>
        </w:rPr>
        <w:t>rend</w:t>
      </w:r>
      <w:r w:rsidR="00496A06" w:rsidRPr="00E178A9">
        <w:rPr>
          <w:rFonts w:ascii="Arial" w:hAnsi="Arial" w:cs="Arial"/>
          <w:sz w:val="20"/>
          <w:szCs w:val="20"/>
        </w:rPr>
        <w:t xml:space="preserve"> </w:t>
      </w:r>
      <w:r w:rsidR="00E178A9" w:rsidRPr="00E178A9">
        <w:rPr>
          <w:rFonts w:ascii="Arial" w:hAnsi="Arial" w:cs="Arial"/>
          <w:sz w:val="20"/>
          <w:szCs w:val="20"/>
        </w:rPr>
        <w:t>beaucoup de secteurs industriels particulièrement vulnérables au ralentissement de l’inflation. Dans ce contexte, les entreprises préfèrent augmenter leur trésorerie et se désendetter plutôt qu’investir, ce qui est préjudiciable pour leurs perspectives de croissance à moyen terme.</w:t>
      </w:r>
    </w:p>
    <w:p w14:paraId="05AD260A" w14:textId="77777777" w:rsidR="00E178A9" w:rsidRPr="00E178A9" w:rsidRDefault="00E178A9" w:rsidP="00983D5A">
      <w:pPr>
        <w:suppressAutoHyphens/>
        <w:spacing w:line="270" w:lineRule="exact"/>
        <w:jc w:val="both"/>
        <w:rPr>
          <w:rFonts w:ascii="Arial" w:hAnsi="Arial" w:cs="Arial"/>
          <w:sz w:val="20"/>
          <w:szCs w:val="20"/>
        </w:rPr>
      </w:pPr>
    </w:p>
    <w:p w14:paraId="7091C48E" w14:textId="4FB41920" w:rsidR="00487AC9" w:rsidRDefault="00507CD3" w:rsidP="00983D5A">
      <w:pPr>
        <w:suppressAutoHyphens/>
        <w:spacing w:line="270" w:lineRule="exact"/>
        <w:jc w:val="both"/>
        <w:rPr>
          <w:rFonts w:ascii="Arial" w:hAnsi="Arial" w:cs="Arial"/>
          <w:sz w:val="20"/>
          <w:szCs w:val="20"/>
        </w:rPr>
      </w:pPr>
      <w:r>
        <w:rPr>
          <w:rFonts w:ascii="Arial" w:hAnsi="Arial" w:cs="Arial"/>
          <w:sz w:val="20"/>
          <w:szCs w:val="20"/>
        </w:rPr>
        <w:t>Mais à plus</w:t>
      </w:r>
      <w:r w:rsidR="00E178A9" w:rsidRPr="00E178A9">
        <w:rPr>
          <w:rFonts w:ascii="Arial" w:hAnsi="Arial" w:cs="Arial"/>
          <w:sz w:val="20"/>
          <w:szCs w:val="20"/>
        </w:rPr>
        <w:t xml:space="preserve"> court terme, la « </w:t>
      </w:r>
      <w:proofErr w:type="spellStart"/>
      <w:r w:rsidR="00E178A9" w:rsidRPr="00E178A9">
        <w:rPr>
          <w:rFonts w:ascii="Arial" w:hAnsi="Arial" w:cs="Arial"/>
          <w:sz w:val="20"/>
          <w:szCs w:val="20"/>
        </w:rPr>
        <w:t>low-flation</w:t>
      </w:r>
      <w:proofErr w:type="spellEnd"/>
      <w:r w:rsidR="00E178A9" w:rsidRPr="00E178A9">
        <w:rPr>
          <w:rFonts w:ascii="Arial" w:hAnsi="Arial" w:cs="Arial"/>
          <w:sz w:val="20"/>
          <w:szCs w:val="20"/>
        </w:rPr>
        <w:t xml:space="preserve"> » </w:t>
      </w:r>
      <w:r>
        <w:rPr>
          <w:rFonts w:ascii="Arial" w:hAnsi="Arial" w:cs="Arial"/>
          <w:sz w:val="20"/>
          <w:szCs w:val="20"/>
        </w:rPr>
        <w:t>comporte des avantages</w:t>
      </w:r>
      <w:r w:rsidR="00E178A9" w:rsidRPr="00E178A9">
        <w:rPr>
          <w:rFonts w:ascii="Arial" w:hAnsi="Arial" w:cs="Arial"/>
          <w:sz w:val="20"/>
          <w:szCs w:val="20"/>
        </w:rPr>
        <w:t xml:space="preserve"> pour </w:t>
      </w:r>
      <w:r>
        <w:rPr>
          <w:rFonts w:ascii="Arial" w:hAnsi="Arial" w:cs="Arial"/>
          <w:sz w:val="20"/>
          <w:szCs w:val="20"/>
        </w:rPr>
        <w:t xml:space="preserve">l’économie française. Elle favorise d’abord le pouvoir d’achat des ménages et donc leur consommation, qui </w:t>
      </w:r>
      <w:r>
        <w:rPr>
          <w:rFonts w:ascii="Arial" w:hAnsi="Arial" w:cs="Arial"/>
          <w:sz w:val="20"/>
        </w:rPr>
        <w:t xml:space="preserve">reste d’ailleurs le moteur essentiel de la croissance. Du côté des entreprises, </w:t>
      </w:r>
      <w:r>
        <w:rPr>
          <w:rFonts w:ascii="Arial" w:hAnsi="Arial" w:cs="Arial"/>
          <w:sz w:val="20"/>
          <w:szCs w:val="20"/>
        </w:rPr>
        <w:t>o</w:t>
      </w:r>
      <w:r w:rsidR="00E178A9" w:rsidRPr="00E178A9">
        <w:rPr>
          <w:rFonts w:ascii="Arial" w:hAnsi="Arial" w:cs="Arial"/>
          <w:sz w:val="20"/>
          <w:szCs w:val="20"/>
        </w:rPr>
        <w:t>utre les conditions de financement favorables grâce à des taux d’intérêt bas, la baisse des prix à la production</w:t>
      </w:r>
      <w:r w:rsidR="009570DC">
        <w:rPr>
          <w:rFonts w:ascii="Arial" w:hAnsi="Arial" w:cs="Arial"/>
          <w:sz w:val="20"/>
          <w:szCs w:val="20"/>
        </w:rPr>
        <w:t>,</w:t>
      </w:r>
      <w:r w:rsidR="00E178A9" w:rsidRPr="00E178A9">
        <w:rPr>
          <w:rFonts w:ascii="Arial" w:hAnsi="Arial" w:cs="Arial"/>
          <w:sz w:val="20"/>
          <w:szCs w:val="20"/>
        </w:rPr>
        <w:t xml:space="preserve"> </w:t>
      </w:r>
      <w:r>
        <w:rPr>
          <w:rFonts w:ascii="Arial" w:hAnsi="Arial" w:cs="Arial"/>
          <w:sz w:val="20"/>
          <w:szCs w:val="20"/>
        </w:rPr>
        <w:t>résultant notamment du recul des prix du pétrole</w:t>
      </w:r>
      <w:r w:rsidR="009570DC">
        <w:rPr>
          <w:rFonts w:ascii="Arial" w:hAnsi="Arial" w:cs="Arial"/>
          <w:sz w:val="20"/>
          <w:szCs w:val="20"/>
        </w:rPr>
        <w:t>,</w:t>
      </w:r>
      <w:r>
        <w:rPr>
          <w:rFonts w:ascii="Arial" w:hAnsi="Arial" w:cs="Arial"/>
          <w:sz w:val="20"/>
          <w:szCs w:val="20"/>
        </w:rPr>
        <w:t xml:space="preserve"> a</w:t>
      </w:r>
      <w:r w:rsidR="00E178A9" w:rsidRPr="00E178A9">
        <w:rPr>
          <w:rFonts w:ascii="Arial" w:hAnsi="Arial" w:cs="Arial"/>
          <w:sz w:val="20"/>
          <w:szCs w:val="20"/>
        </w:rPr>
        <w:t xml:space="preserve"> un impact positif sur les marges des entreprises. Sans surprise, la chimie et les transports sont les principaux bénéficiaires de la baisse récente des cours mondiaux du pétrole.</w:t>
      </w:r>
    </w:p>
    <w:p w14:paraId="475B9CA2" w14:textId="77777777" w:rsidR="00487AC9" w:rsidRDefault="00487AC9" w:rsidP="00983D5A">
      <w:pPr>
        <w:suppressAutoHyphens/>
        <w:spacing w:line="270" w:lineRule="exact"/>
        <w:jc w:val="both"/>
        <w:rPr>
          <w:rFonts w:ascii="Arial" w:hAnsi="Arial" w:cs="Arial"/>
          <w:sz w:val="20"/>
          <w:szCs w:val="20"/>
        </w:rPr>
      </w:pPr>
    </w:p>
    <w:p w14:paraId="2200279B" w14:textId="5EA44CC9" w:rsidR="003D72B6" w:rsidRDefault="00507CD3" w:rsidP="00983D5A">
      <w:pPr>
        <w:suppressAutoHyphens/>
        <w:spacing w:line="270" w:lineRule="exact"/>
        <w:jc w:val="both"/>
        <w:rPr>
          <w:rFonts w:ascii="Arial" w:hAnsi="Arial" w:cs="Arial"/>
          <w:sz w:val="20"/>
          <w:szCs w:val="20"/>
        </w:rPr>
      </w:pPr>
      <w:r>
        <w:rPr>
          <w:rFonts w:ascii="Arial" w:hAnsi="Arial" w:cs="Arial"/>
          <w:sz w:val="20"/>
        </w:rPr>
        <w:t>Au-delà de ces effets de court terme, u</w:t>
      </w:r>
      <w:r w:rsidR="00387DB2">
        <w:rPr>
          <w:rFonts w:ascii="Arial" w:hAnsi="Arial" w:cs="Arial"/>
          <w:sz w:val="20"/>
        </w:rPr>
        <w:t>ne</w:t>
      </w:r>
      <w:r w:rsidR="00387DB2" w:rsidRPr="00F37CBF">
        <w:rPr>
          <w:rFonts w:ascii="Arial" w:hAnsi="Arial" w:cs="Arial"/>
          <w:sz w:val="20"/>
        </w:rPr>
        <w:t xml:space="preserve"> période prolongée de </w:t>
      </w:r>
      <w:r w:rsidR="00387DB2">
        <w:rPr>
          <w:rFonts w:ascii="Arial" w:hAnsi="Arial" w:cs="Arial"/>
          <w:sz w:val="20"/>
        </w:rPr>
        <w:t>« </w:t>
      </w:r>
      <w:proofErr w:type="spellStart"/>
      <w:r w:rsidR="00387DB2">
        <w:rPr>
          <w:rFonts w:ascii="Arial" w:hAnsi="Arial" w:cs="Arial"/>
          <w:sz w:val="20"/>
        </w:rPr>
        <w:t>low-flation</w:t>
      </w:r>
      <w:proofErr w:type="spellEnd"/>
      <w:r w:rsidR="00387DB2">
        <w:rPr>
          <w:rFonts w:ascii="Arial" w:hAnsi="Arial" w:cs="Arial"/>
          <w:sz w:val="20"/>
        </w:rPr>
        <w:t> »</w:t>
      </w:r>
      <w:r w:rsidR="00387DB2" w:rsidRPr="00F37CBF">
        <w:rPr>
          <w:rFonts w:ascii="Arial" w:hAnsi="Arial" w:cs="Arial"/>
          <w:sz w:val="20"/>
        </w:rPr>
        <w:t xml:space="preserve"> </w:t>
      </w:r>
      <w:r w:rsidR="00387DB2">
        <w:rPr>
          <w:rFonts w:ascii="Arial" w:hAnsi="Arial" w:cs="Arial"/>
          <w:sz w:val="20"/>
        </w:rPr>
        <w:t xml:space="preserve">est </w:t>
      </w:r>
      <w:r w:rsidR="00387DB2" w:rsidRPr="00F37CBF">
        <w:rPr>
          <w:rFonts w:ascii="Arial" w:hAnsi="Arial" w:cs="Arial"/>
          <w:sz w:val="20"/>
        </w:rPr>
        <w:t>le signe d’un changement de régime de croissance : moins de</w:t>
      </w:r>
      <w:r w:rsidR="00387DB2">
        <w:rPr>
          <w:rFonts w:ascii="Arial" w:hAnsi="Arial" w:cs="Arial"/>
          <w:sz w:val="20"/>
        </w:rPr>
        <w:t xml:space="preserve"> croissance, moins d’inflation, </w:t>
      </w:r>
      <w:r>
        <w:rPr>
          <w:rFonts w:ascii="Arial" w:hAnsi="Arial" w:cs="Arial"/>
          <w:sz w:val="20"/>
        </w:rPr>
        <w:t>mais aussi des conditions de financement plus favorables et des coûts de production qui progressent moins vite pour les entreprises</w:t>
      </w:r>
      <w:r w:rsidR="00387DB2">
        <w:rPr>
          <w:rFonts w:ascii="Arial" w:hAnsi="Arial" w:cs="Arial"/>
          <w:sz w:val="20"/>
        </w:rPr>
        <w:t xml:space="preserve">. </w:t>
      </w:r>
      <w:r w:rsidR="00387DB2">
        <w:rPr>
          <w:rFonts w:ascii="Arial" w:hAnsi="Arial" w:cs="Arial"/>
          <w:sz w:val="20"/>
          <w:szCs w:val="20"/>
        </w:rPr>
        <w:t>L’année 2014 le confirme : alors qu’une croissance du PIB supérieure à 1,6% était historiquement nécessaire afin que le nombre de défaillances d’entreprises recule en France, celles-ci se sont stabilisées (une légère baisse de -1,2%</w:t>
      </w:r>
      <w:r>
        <w:rPr>
          <w:rFonts w:ascii="Arial" w:hAnsi="Arial" w:cs="Arial"/>
          <w:sz w:val="20"/>
          <w:szCs w:val="20"/>
        </w:rPr>
        <w:t xml:space="preserve"> est même attendue sur l’ensemble de l’année 2014</w:t>
      </w:r>
      <w:r w:rsidR="00387DB2">
        <w:rPr>
          <w:rFonts w:ascii="Arial" w:hAnsi="Arial" w:cs="Arial"/>
          <w:sz w:val="20"/>
          <w:szCs w:val="20"/>
        </w:rPr>
        <w:t xml:space="preserve"> par rapport à 2013), malgré une croissance </w:t>
      </w:r>
      <w:r>
        <w:rPr>
          <w:rFonts w:ascii="Arial" w:hAnsi="Arial" w:cs="Arial"/>
          <w:sz w:val="20"/>
          <w:szCs w:val="20"/>
        </w:rPr>
        <w:t xml:space="preserve">du PIB </w:t>
      </w:r>
      <w:r w:rsidR="00387DB2">
        <w:rPr>
          <w:rFonts w:ascii="Arial" w:hAnsi="Arial" w:cs="Arial"/>
          <w:sz w:val="20"/>
          <w:szCs w:val="20"/>
        </w:rPr>
        <w:t>de seulement 0,4%.</w:t>
      </w:r>
    </w:p>
    <w:tbl>
      <w:tblPr>
        <w:tblStyle w:val="Grilledutableau"/>
        <w:tblW w:w="8540" w:type="dxa"/>
        <w:jc w:val="center"/>
        <w:tblInd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40"/>
      </w:tblGrid>
      <w:tr w:rsidR="003D72B6" w:rsidRPr="00C0461B" w14:paraId="6928FD55" w14:textId="77777777" w:rsidTr="002A223A">
        <w:trPr>
          <w:trHeight w:val="220"/>
          <w:jc w:val="center"/>
        </w:trPr>
        <w:tc>
          <w:tcPr>
            <w:tcW w:w="8540" w:type="dxa"/>
          </w:tcPr>
          <w:p w14:paraId="387CF895" w14:textId="77777777" w:rsidR="003D72B6" w:rsidRDefault="003D72B6" w:rsidP="002A223A">
            <w:pPr>
              <w:pStyle w:val="Pieddepage"/>
              <w:spacing w:line="200" w:lineRule="exact"/>
              <w:rPr>
                <w:rFonts w:ascii="Arial" w:hAnsi="Arial" w:cs="Arial"/>
                <w:b/>
                <w:sz w:val="18"/>
                <w:szCs w:val="18"/>
              </w:rPr>
            </w:pPr>
          </w:p>
          <w:p w14:paraId="60229502" w14:textId="77777777" w:rsidR="003D72B6" w:rsidRDefault="003D72B6" w:rsidP="002A223A">
            <w:pPr>
              <w:pStyle w:val="Pieddepage"/>
              <w:spacing w:line="200" w:lineRule="exact"/>
              <w:rPr>
                <w:rFonts w:ascii="Arial" w:hAnsi="Arial" w:cs="Arial"/>
                <w:b/>
                <w:sz w:val="18"/>
                <w:szCs w:val="18"/>
              </w:rPr>
            </w:pPr>
          </w:p>
          <w:p w14:paraId="29BB4D56" w14:textId="77777777" w:rsidR="003D72B6" w:rsidRDefault="003D72B6" w:rsidP="002A223A">
            <w:pPr>
              <w:pStyle w:val="Pieddepage"/>
              <w:spacing w:line="200" w:lineRule="exact"/>
              <w:rPr>
                <w:rFonts w:ascii="Arial" w:hAnsi="Arial" w:cs="Arial"/>
                <w:b/>
                <w:sz w:val="18"/>
                <w:szCs w:val="18"/>
              </w:rPr>
            </w:pPr>
          </w:p>
          <w:p w14:paraId="1192AD65" w14:textId="77777777" w:rsidR="003D72B6" w:rsidRDefault="003D72B6" w:rsidP="002A223A">
            <w:pPr>
              <w:pStyle w:val="Pieddepage"/>
              <w:spacing w:line="200" w:lineRule="exact"/>
              <w:rPr>
                <w:rFonts w:ascii="Arial" w:hAnsi="Arial" w:cs="Arial"/>
                <w:b/>
                <w:sz w:val="18"/>
                <w:szCs w:val="18"/>
              </w:rPr>
            </w:pPr>
          </w:p>
          <w:p w14:paraId="4312A44D" w14:textId="77777777" w:rsidR="003D72B6" w:rsidRDefault="003D72B6" w:rsidP="002A223A">
            <w:pPr>
              <w:pStyle w:val="Pieddepage"/>
              <w:spacing w:line="200" w:lineRule="exact"/>
              <w:rPr>
                <w:rFonts w:ascii="Arial" w:hAnsi="Arial" w:cs="Arial"/>
                <w:b/>
                <w:sz w:val="18"/>
                <w:szCs w:val="18"/>
              </w:rPr>
            </w:pPr>
          </w:p>
          <w:p w14:paraId="3D36090C" w14:textId="77777777" w:rsidR="003D72B6" w:rsidRDefault="003D72B6" w:rsidP="002A223A">
            <w:pPr>
              <w:pStyle w:val="Pieddepage"/>
              <w:spacing w:line="200" w:lineRule="exact"/>
              <w:rPr>
                <w:rFonts w:ascii="Arial" w:hAnsi="Arial" w:cs="Arial"/>
                <w:b/>
                <w:sz w:val="18"/>
                <w:szCs w:val="18"/>
              </w:rPr>
            </w:pPr>
          </w:p>
          <w:p w14:paraId="5D05DA7D" w14:textId="77777777" w:rsidR="003D72B6" w:rsidRDefault="003D72B6" w:rsidP="002A223A">
            <w:pPr>
              <w:pStyle w:val="Pieddepage"/>
              <w:spacing w:line="200" w:lineRule="exact"/>
              <w:rPr>
                <w:rFonts w:ascii="Arial" w:hAnsi="Arial" w:cs="Arial"/>
                <w:b/>
                <w:sz w:val="18"/>
                <w:szCs w:val="18"/>
              </w:rPr>
            </w:pPr>
          </w:p>
          <w:p w14:paraId="449BD20A" w14:textId="77777777" w:rsidR="003D72B6" w:rsidRDefault="003D72B6" w:rsidP="002A223A">
            <w:pPr>
              <w:pStyle w:val="Pieddepage"/>
              <w:spacing w:line="200" w:lineRule="exact"/>
              <w:rPr>
                <w:rFonts w:ascii="Arial" w:hAnsi="Arial" w:cs="Arial"/>
                <w:b/>
                <w:sz w:val="18"/>
                <w:szCs w:val="18"/>
              </w:rPr>
            </w:pPr>
          </w:p>
          <w:p w14:paraId="28D5A14D" w14:textId="77777777" w:rsidR="003D72B6" w:rsidRDefault="003D72B6" w:rsidP="002A223A">
            <w:pPr>
              <w:pStyle w:val="Pieddepage"/>
              <w:spacing w:line="200" w:lineRule="exact"/>
              <w:rPr>
                <w:rFonts w:ascii="Arial" w:hAnsi="Arial" w:cs="Arial"/>
                <w:b/>
                <w:sz w:val="18"/>
                <w:szCs w:val="18"/>
              </w:rPr>
            </w:pPr>
          </w:p>
          <w:p w14:paraId="2699CE62" w14:textId="77777777" w:rsidR="003D72B6" w:rsidRPr="00E31709" w:rsidRDefault="003D72B6" w:rsidP="002A223A">
            <w:pPr>
              <w:pStyle w:val="Pieddepage"/>
              <w:spacing w:line="200" w:lineRule="exact"/>
              <w:rPr>
                <w:rFonts w:ascii="Arial" w:hAnsi="Arial" w:cs="Arial"/>
                <w:b/>
                <w:sz w:val="18"/>
                <w:szCs w:val="18"/>
              </w:rPr>
            </w:pPr>
          </w:p>
          <w:p w14:paraId="2D594705" w14:textId="77777777" w:rsidR="003D72B6" w:rsidRDefault="003D72B6" w:rsidP="002A223A">
            <w:pPr>
              <w:pStyle w:val="Pieddepage"/>
              <w:spacing w:line="200" w:lineRule="exact"/>
              <w:ind w:left="78"/>
              <w:rPr>
                <w:rFonts w:ascii="Arial" w:hAnsi="Arial" w:cs="Arial"/>
                <w:sz w:val="18"/>
                <w:szCs w:val="18"/>
                <w:lang w:val="en-GB"/>
              </w:rPr>
            </w:pPr>
            <w:r w:rsidRPr="00C0461B">
              <w:rPr>
                <w:rFonts w:ascii="Arial" w:hAnsi="Arial" w:cs="Arial"/>
                <w:b/>
                <w:sz w:val="18"/>
                <w:szCs w:val="18"/>
                <w:lang w:val="en-GB"/>
              </w:rPr>
              <w:t>CONTACT</w:t>
            </w:r>
            <w:r>
              <w:rPr>
                <w:rFonts w:ascii="Arial" w:hAnsi="Arial" w:cs="Arial"/>
                <w:b/>
                <w:sz w:val="18"/>
                <w:szCs w:val="18"/>
                <w:lang w:val="en-GB"/>
              </w:rPr>
              <w:t>S MEDIA</w:t>
            </w:r>
            <w:r w:rsidRPr="00C0461B">
              <w:rPr>
                <w:rFonts w:ascii="Arial" w:hAnsi="Arial" w:cs="Arial"/>
                <w:sz w:val="18"/>
                <w:szCs w:val="18"/>
                <w:lang w:val="en-GB"/>
              </w:rPr>
              <w:t xml:space="preserve">: </w:t>
            </w:r>
          </w:p>
          <w:p w14:paraId="55064AF4" w14:textId="77777777" w:rsidR="003D72B6" w:rsidRDefault="003D72B6" w:rsidP="002A223A">
            <w:pPr>
              <w:pStyle w:val="Pieddepage"/>
              <w:spacing w:line="200" w:lineRule="exact"/>
              <w:ind w:left="78"/>
              <w:rPr>
                <w:rFonts w:ascii="Arial" w:hAnsi="Arial" w:cs="Arial"/>
                <w:sz w:val="18"/>
                <w:szCs w:val="18"/>
                <w:lang w:val="en-GB"/>
              </w:rPr>
            </w:pPr>
            <w:r>
              <w:rPr>
                <w:rFonts w:ascii="Arial" w:hAnsi="Arial" w:cs="Arial"/>
                <w:sz w:val="18"/>
                <w:szCs w:val="18"/>
                <w:lang w:val="en-GB"/>
              </w:rPr>
              <w:t xml:space="preserve">Maria KRELLENSTEIN - </w:t>
            </w:r>
            <w:r w:rsidRPr="00C0461B">
              <w:rPr>
                <w:rFonts w:ascii="Arial" w:hAnsi="Arial" w:cs="Arial"/>
                <w:sz w:val="18"/>
                <w:szCs w:val="18"/>
                <w:lang w:val="en-GB"/>
              </w:rPr>
              <w:t xml:space="preserve"> T. +33 (0)1 </w:t>
            </w:r>
            <w:r>
              <w:rPr>
                <w:rFonts w:ascii="Arial" w:hAnsi="Arial" w:cs="Arial"/>
                <w:sz w:val="18"/>
                <w:szCs w:val="18"/>
                <w:lang w:val="en-GB"/>
              </w:rPr>
              <w:t xml:space="preserve">49 02 16 29  </w:t>
            </w:r>
            <w:hyperlink r:id="rId9" w:history="1">
              <w:r w:rsidRPr="00D71662">
                <w:rPr>
                  <w:rStyle w:val="Lienhypertexte"/>
                  <w:rFonts w:ascii="Arial" w:hAnsi="Arial" w:cs="Arial"/>
                  <w:sz w:val="18"/>
                  <w:szCs w:val="18"/>
                  <w:lang w:val="en-GB"/>
                </w:rPr>
                <w:t>maria.krellenstein@coface.com</w:t>
              </w:r>
            </w:hyperlink>
          </w:p>
          <w:p w14:paraId="6D765F0F" w14:textId="77777777" w:rsidR="003D72B6" w:rsidRDefault="003D72B6" w:rsidP="002A223A">
            <w:pPr>
              <w:spacing w:line="200" w:lineRule="exact"/>
              <w:ind w:left="78"/>
              <w:rPr>
                <w:rStyle w:val="Lienhypertexte"/>
                <w:rFonts w:ascii="Arial" w:hAnsi="Arial" w:cs="Arial"/>
                <w:sz w:val="18"/>
                <w:szCs w:val="18"/>
              </w:rPr>
            </w:pPr>
            <w:r>
              <w:rPr>
                <w:rFonts w:ascii="Arial" w:hAnsi="Arial" w:cs="Arial"/>
                <w:sz w:val="18"/>
                <w:szCs w:val="18"/>
              </w:rPr>
              <w:t xml:space="preserve">Justine LANSAC – T. +33 (0)1 49 02 24 48  </w:t>
            </w:r>
            <w:hyperlink r:id="rId10" w:history="1">
              <w:r w:rsidRPr="00364776">
                <w:rPr>
                  <w:rStyle w:val="Lienhypertexte"/>
                  <w:rFonts w:ascii="Arial" w:hAnsi="Arial" w:cs="Arial"/>
                  <w:sz w:val="18"/>
                  <w:szCs w:val="18"/>
                </w:rPr>
                <w:t>justine.lansac@coface.com</w:t>
              </w:r>
            </w:hyperlink>
          </w:p>
          <w:p w14:paraId="7129BC48" w14:textId="77777777" w:rsidR="003D72B6" w:rsidRPr="009E16B2" w:rsidRDefault="003D72B6" w:rsidP="002A223A">
            <w:pPr>
              <w:spacing w:line="200" w:lineRule="exact"/>
              <w:ind w:left="78"/>
              <w:rPr>
                <w:rFonts w:ascii="Arial" w:hAnsi="Arial" w:cs="Arial"/>
                <w:color w:val="0000FF"/>
                <w:sz w:val="18"/>
                <w:szCs w:val="18"/>
                <w:u w:val="single"/>
              </w:rPr>
            </w:pPr>
          </w:p>
        </w:tc>
      </w:tr>
    </w:tbl>
    <w:tbl>
      <w:tblPr>
        <w:tblW w:w="8540" w:type="dxa"/>
        <w:jc w:val="center"/>
        <w:tblInd w:w="1950" w:type="dxa"/>
        <w:tblLayout w:type="fixed"/>
        <w:tblCellMar>
          <w:left w:w="0" w:type="dxa"/>
          <w:right w:w="0" w:type="dxa"/>
        </w:tblCellMar>
        <w:tblLook w:val="00A0" w:firstRow="1" w:lastRow="0" w:firstColumn="1" w:lastColumn="0" w:noHBand="0" w:noVBand="0"/>
      </w:tblPr>
      <w:tblGrid>
        <w:gridCol w:w="8540"/>
      </w:tblGrid>
      <w:tr w:rsidR="003D72B6" w:rsidRPr="00E11AEF" w14:paraId="764D4ECF" w14:textId="77777777" w:rsidTr="002A223A">
        <w:trPr>
          <w:trHeight w:val="220"/>
          <w:jc w:val="center"/>
        </w:trPr>
        <w:tc>
          <w:tcPr>
            <w:tcW w:w="8540" w:type="dxa"/>
            <w:shd w:val="clear" w:color="auto" w:fill="E9EDF4"/>
          </w:tcPr>
          <w:p w14:paraId="648B845D" w14:textId="77777777" w:rsidR="003D72B6" w:rsidRPr="004B39D3" w:rsidRDefault="003D72B6" w:rsidP="002A223A">
            <w:pPr>
              <w:spacing w:before="60" w:after="60" w:line="220" w:lineRule="atLeast"/>
              <w:ind w:left="113" w:right="113"/>
              <w:jc w:val="both"/>
              <w:rPr>
                <w:rFonts w:ascii="Arial" w:hAnsi="Arial" w:cs="Arial"/>
                <w:b/>
                <w:sz w:val="18"/>
                <w:szCs w:val="18"/>
              </w:rPr>
            </w:pPr>
            <w:r w:rsidRPr="004B39D3">
              <w:rPr>
                <w:rFonts w:ascii="Arial" w:hAnsi="Arial" w:cs="Arial"/>
                <w:b/>
                <w:sz w:val="18"/>
                <w:szCs w:val="18"/>
              </w:rPr>
              <w:lastRenderedPageBreak/>
              <w:t>A propos de Coface</w:t>
            </w:r>
          </w:p>
          <w:p w14:paraId="5761BF7F" w14:textId="77777777" w:rsidR="003D72B6" w:rsidRPr="004B39D3" w:rsidRDefault="003D72B6" w:rsidP="002A223A">
            <w:pPr>
              <w:ind w:left="142" w:right="141"/>
              <w:jc w:val="both"/>
              <w:rPr>
                <w:rFonts w:ascii="Arial" w:hAnsi="Arial" w:cs="Arial"/>
                <w:sz w:val="18"/>
                <w:szCs w:val="18"/>
              </w:rPr>
            </w:pPr>
            <w:r w:rsidRPr="004B39D3">
              <w:rPr>
                <w:rFonts w:ascii="Arial" w:hAnsi="Arial" w:cs="Arial"/>
                <w:sz w:val="18"/>
                <w:szCs w:val="18"/>
              </w:rPr>
              <w:t>Le groupe Coface, un leader mondial de l'assurance-crédit, propose aux entreprises du monde entier des solutions pour les protéger contre le risque de défaillance financière de leurs clients, sur leur ma</w:t>
            </w:r>
            <w:r w:rsidRPr="004B39D3">
              <w:rPr>
                <w:rFonts w:ascii="Arial" w:hAnsi="Arial" w:cs="Arial"/>
                <w:sz w:val="18"/>
                <w:szCs w:val="18"/>
              </w:rPr>
              <w:t>r</w:t>
            </w:r>
            <w:r w:rsidRPr="004B39D3">
              <w:rPr>
                <w:rFonts w:ascii="Arial" w:hAnsi="Arial" w:cs="Arial"/>
                <w:sz w:val="18"/>
                <w:szCs w:val="18"/>
              </w:rPr>
              <w:t>ché domestique et à l’export. En 2013, le Groupe, fort de 4 440 collaborateurs, a enregistré un chiffre d’affaires consolidé de 1 440 Md€. Présent directement ou indirectement dans 98 pays, il sécurise les transactions de plus de 37 000 entreprises dans plus de 200 pays. Chaque trimestre, Coface publie son évaluation du risque pays dans 160 pays, en s'appuyant sur sa connaissance unique du compo</w:t>
            </w:r>
            <w:r w:rsidRPr="004B39D3">
              <w:rPr>
                <w:rFonts w:ascii="Arial" w:hAnsi="Arial" w:cs="Arial"/>
                <w:sz w:val="18"/>
                <w:szCs w:val="18"/>
              </w:rPr>
              <w:t>r</w:t>
            </w:r>
            <w:r w:rsidRPr="004B39D3">
              <w:rPr>
                <w:rFonts w:ascii="Arial" w:hAnsi="Arial" w:cs="Arial"/>
                <w:sz w:val="18"/>
                <w:szCs w:val="18"/>
              </w:rPr>
              <w:t>tement de paiement des entreprises et sur l'expertise de ses 350 arbitres localisés au plus près des clients et de leurs débiteurs.</w:t>
            </w:r>
          </w:p>
          <w:p w14:paraId="5BFC5190" w14:textId="77777777" w:rsidR="003D72B6" w:rsidRPr="004B39D3" w:rsidRDefault="003D72B6" w:rsidP="002A223A">
            <w:pPr>
              <w:ind w:left="142" w:right="141"/>
              <w:jc w:val="both"/>
              <w:rPr>
                <w:rFonts w:ascii="Arial" w:hAnsi="Arial" w:cs="Arial"/>
                <w:sz w:val="18"/>
                <w:szCs w:val="18"/>
              </w:rPr>
            </w:pPr>
            <w:r w:rsidRPr="004B39D3">
              <w:rPr>
                <w:rFonts w:ascii="Arial" w:hAnsi="Arial" w:cs="Arial"/>
                <w:sz w:val="18"/>
                <w:szCs w:val="18"/>
              </w:rPr>
              <w:t xml:space="preserve">En France, le Groupe gère également  les garanties publiques à l'exportation pour le compte de l'Etat. </w:t>
            </w:r>
          </w:p>
          <w:p w14:paraId="79D1E6C3" w14:textId="77777777" w:rsidR="003D72B6" w:rsidRPr="004B39D3" w:rsidRDefault="009570DC" w:rsidP="002A223A">
            <w:pPr>
              <w:spacing w:before="60" w:after="60"/>
              <w:ind w:right="113"/>
              <w:jc w:val="center"/>
              <w:rPr>
                <w:rFonts w:ascii="Arial" w:hAnsi="Arial" w:cs="Arial"/>
                <w:color w:val="0000FF"/>
                <w:sz w:val="18"/>
                <w:szCs w:val="18"/>
                <w:u w:val="single"/>
              </w:rPr>
            </w:pPr>
            <w:hyperlink r:id="rId11" w:history="1">
              <w:r w:rsidR="003D72B6" w:rsidRPr="004B39D3">
                <w:rPr>
                  <w:rStyle w:val="Lienhypertexte"/>
                  <w:rFonts w:ascii="Arial" w:hAnsi="Arial" w:cs="Arial"/>
                  <w:sz w:val="18"/>
                  <w:szCs w:val="18"/>
                </w:rPr>
                <w:t>www.coface.com</w:t>
              </w:r>
            </w:hyperlink>
          </w:p>
          <w:p w14:paraId="048EC4CC" w14:textId="77777777" w:rsidR="003D72B6" w:rsidRPr="004B39D3" w:rsidRDefault="003D72B6" w:rsidP="002A223A">
            <w:pPr>
              <w:spacing w:line="240" w:lineRule="atLeast"/>
              <w:ind w:left="101" w:right="141"/>
              <w:jc w:val="both"/>
              <w:rPr>
                <w:rFonts w:ascii="Arial" w:hAnsi="Arial" w:cs="Arial"/>
                <w:sz w:val="18"/>
                <w:szCs w:val="18"/>
              </w:rPr>
            </w:pPr>
            <w:r>
              <w:rPr>
                <w:rFonts w:ascii="Arial" w:hAnsi="Arial" w:cs="Arial"/>
                <w:b/>
                <w:noProof/>
                <w:sz w:val="18"/>
                <w:szCs w:val="18"/>
              </w:rPr>
              <w:drawing>
                <wp:anchor distT="0" distB="0" distL="114300" distR="114300" simplePos="0" relativeHeight="251660288" behindDoc="0" locked="0" layoutInCell="1" allowOverlap="1" wp14:anchorId="0ED54E5E" wp14:editId="282C26AB">
                  <wp:simplePos x="0" y="0"/>
                  <wp:positionH relativeFrom="column">
                    <wp:posOffset>4621530</wp:posOffset>
                  </wp:positionH>
                  <wp:positionV relativeFrom="paragraph">
                    <wp:posOffset>55245</wp:posOffset>
                  </wp:positionV>
                  <wp:extent cx="519430" cy="514350"/>
                  <wp:effectExtent l="0" t="0" r="0" b="0"/>
                  <wp:wrapNone/>
                  <wp:docPr id="6"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0869F" w14:textId="77777777" w:rsidR="003D72B6" w:rsidRPr="004B39D3" w:rsidRDefault="003D72B6" w:rsidP="002A223A">
            <w:pPr>
              <w:tabs>
                <w:tab w:val="left" w:pos="8202"/>
              </w:tabs>
              <w:autoSpaceDE w:val="0"/>
              <w:autoSpaceDN w:val="0"/>
              <w:adjustRightInd w:val="0"/>
              <w:spacing w:line="240" w:lineRule="atLeast"/>
              <w:ind w:left="348" w:right="1587"/>
              <w:jc w:val="right"/>
              <w:rPr>
                <w:rFonts w:ascii="Arial" w:hAnsi="Arial" w:cs="Arial"/>
                <w:sz w:val="18"/>
                <w:szCs w:val="18"/>
              </w:rPr>
            </w:pPr>
            <w:r w:rsidRPr="004B39D3">
              <w:rPr>
                <w:rFonts w:ascii="Arial" w:hAnsi="Arial" w:cs="Arial"/>
                <w:sz w:val="18"/>
                <w:szCs w:val="18"/>
              </w:rPr>
              <w:t xml:space="preserve">Coface SA. est coté sur le Compartiment A d’Euronext Paris </w:t>
            </w:r>
            <w:r>
              <w:rPr>
                <w:noProof/>
              </w:rPr>
              <w:drawing>
                <wp:anchor distT="0" distB="0" distL="114300" distR="114300" simplePos="0" relativeHeight="251659264" behindDoc="0" locked="0" layoutInCell="1" allowOverlap="1" wp14:anchorId="40D442A4" wp14:editId="2A0D6339">
                  <wp:simplePos x="0" y="0"/>
                  <wp:positionH relativeFrom="column">
                    <wp:posOffset>6392545</wp:posOffset>
                  </wp:positionH>
                  <wp:positionV relativeFrom="paragraph">
                    <wp:posOffset>4538345</wp:posOffset>
                  </wp:positionV>
                  <wp:extent cx="520065" cy="514350"/>
                  <wp:effectExtent l="0" t="0" r="0" b="0"/>
                  <wp:wrapNone/>
                  <wp:docPr id="8" name="Image 8"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96AAA" w14:textId="77777777" w:rsidR="003D72B6" w:rsidRPr="00E11AEF" w:rsidRDefault="003D72B6" w:rsidP="002A223A">
            <w:pPr>
              <w:autoSpaceDE w:val="0"/>
              <w:autoSpaceDN w:val="0"/>
              <w:adjustRightInd w:val="0"/>
              <w:spacing w:line="240" w:lineRule="atLeast"/>
              <w:ind w:right="1587"/>
              <w:jc w:val="right"/>
              <w:rPr>
                <w:rFonts w:ascii="Arial" w:hAnsi="Arial" w:cs="Arial"/>
                <w:sz w:val="18"/>
                <w:szCs w:val="18"/>
              </w:rPr>
            </w:pPr>
            <w:r w:rsidRPr="00E11AEF">
              <w:rPr>
                <w:rFonts w:ascii="Arial" w:hAnsi="Arial" w:cs="Arial"/>
                <w:sz w:val="18"/>
                <w:szCs w:val="18"/>
              </w:rPr>
              <w:t>Code ISIN : FR0010667147 / Mnémonique : COFA</w:t>
            </w:r>
          </w:p>
          <w:p w14:paraId="15DDBAA0" w14:textId="77777777" w:rsidR="003D72B6" w:rsidRPr="00E11AEF" w:rsidRDefault="003D72B6" w:rsidP="002A223A">
            <w:pPr>
              <w:spacing w:before="60" w:after="60"/>
              <w:ind w:right="113"/>
              <w:jc w:val="center"/>
              <w:rPr>
                <w:rFonts w:ascii="Arial" w:hAnsi="Arial" w:cs="Arial"/>
                <w:sz w:val="18"/>
                <w:szCs w:val="18"/>
                <w:u w:val="single"/>
              </w:rPr>
            </w:pPr>
          </w:p>
        </w:tc>
      </w:tr>
    </w:tbl>
    <w:p w14:paraId="7AFC34A8" w14:textId="77777777" w:rsidR="003D72B6" w:rsidRDefault="003D72B6" w:rsidP="00983D5A">
      <w:pPr>
        <w:suppressAutoHyphens/>
        <w:spacing w:line="270" w:lineRule="exact"/>
        <w:jc w:val="both"/>
        <w:rPr>
          <w:rFonts w:ascii="Arial" w:hAnsi="Arial" w:cs="Arial"/>
          <w:sz w:val="20"/>
          <w:szCs w:val="20"/>
        </w:rPr>
      </w:pPr>
    </w:p>
    <w:sectPr w:rsidR="003D72B6" w:rsidSect="006E5807">
      <w:headerReference w:type="default" r:id="rId13"/>
      <w:headerReference w:type="first" r:id="rId14"/>
      <w:footerReference w:type="first" r:id="rId15"/>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38BAF" w14:textId="77777777" w:rsidR="00D6505A" w:rsidRDefault="00D6505A" w:rsidP="00D67F85">
      <w:r>
        <w:separator/>
      </w:r>
    </w:p>
  </w:endnote>
  <w:endnote w:type="continuationSeparator" w:id="0">
    <w:p w14:paraId="4B8364EC" w14:textId="77777777" w:rsidR="00D6505A" w:rsidRDefault="00D6505A"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C98A" w14:textId="77777777" w:rsidR="00A52C5C" w:rsidRPr="000F6882" w:rsidRDefault="00A52C5C" w:rsidP="00422B4C">
    <w:pPr>
      <w:pStyle w:val="Pieddepage"/>
      <w:spacing w:line="180" w:lineRule="exact"/>
      <w:rPr>
        <w:color w:val="17274B"/>
        <w:sz w:val="14"/>
        <w:szCs w:val="14"/>
      </w:rPr>
    </w:pP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POSTAL ADDRESS</w:instrText>
    </w:r>
    <w:r>
      <w:rPr>
        <w:rFonts w:hint="eastAsia"/>
        <w:color w:val="17274B"/>
        <w:sz w:val="14"/>
        <w:szCs w:val="14"/>
      </w:rPr>
      <w:instrText xml:space="preserve"> </w:instrText>
    </w:r>
    <w:r>
      <w:rPr>
        <w:rFonts w:hint="eastAsia"/>
        <w:color w:val="17274B"/>
        <w:sz w:val="14"/>
        <w:szCs w:val="14"/>
      </w:rPr>
      <w:fldChar w:fldCharType="end"/>
    </w:r>
  </w:p>
  <w:p w14:paraId="064E9DE9" w14:textId="77777777" w:rsidR="00A52C5C" w:rsidRPr="000F6882" w:rsidRDefault="00A52C5C" w:rsidP="00422B4C">
    <w:pPr>
      <w:pStyle w:val="Pieddepage"/>
      <w:spacing w:line="180" w:lineRule="exact"/>
      <w:rPr>
        <w:color w:val="17274B"/>
        <w:sz w:val="14"/>
        <w:szCs w:val="14"/>
      </w:rPr>
    </w:pPr>
    <w:r w:rsidRPr="000F6882">
      <w:rPr>
        <w:color w:val="17274B"/>
        <w:sz w:val="14"/>
        <w:szCs w:val="14"/>
      </w:rPr>
      <w:t>12 COURS MICHELET - LA DÉFENSE 10 - 92800 PUTEAUX - FRANCE</w:t>
    </w:r>
  </w:p>
  <w:p w14:paraId="110CA0E8" w14:textId="77777777" w:rsidR="00A52C5C" w:rsidRPr="000F6882" w:rsidRDefault="00A52C5C" w:rsidP="00422B4C">
    <w:pPr>
      <w:pStyle w:val="Pieddepage"/>
      <w:spacing w:line="180" w:lineRule="exact"/>
      <w:rPr>
        <w:color w:val="17274B"/>
        <w:sz w:val="14"/>
        <w:szCs w:val="14"/>
      </w:rPr>
    </w:pPr>
    <w:r w:rsidRPr="000F6882">
      <w:rPr>
        <w:color w:val="17274B"/>
        <w:sz w:val="14"/>
        <w:szCs w:val="14"/>
      </w:rPr>
      <w:t xml:space="preserve">T.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 xml:space="preserve">MACROBUTTON Remplir +33 (0)1 00 00 00 00 </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M.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(0)6 00 00 00 00</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 F.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(0)1 00 00 00 00</w:instrText>
    </w:r>
    <w:r>
      <w:rPr>
        <w:rFonts w:hint="eastAsia"/>
        <w:color w:val="17274B"/>
        <w:sz w:val="14"/>
        <w:szCs w:val="14"/>
      </w:rPr>
      <w:instrText xml:space="preserve"> </w:instrText>
    </w:r>
    <w:r>
      <w:rPr>
        <w:rFonts w:hint="eastAsia"/>
        <w:color w:val="17274B"/>
        <w:sz w:val="14"/>
        <w:szCs w:val="14"/>
      </w:rPr>
      <w:fldChar w:fldCharType="end"/>
    </w:r>
  </w:p>
  <w:p w14:paraId="2C858CAB" w14:textId="77777777" w:rsidR="00A52C5C" w:rsidRPr="000F6882" w:rsidRDefault="00A52C5C" w:rsidP="00422B4C">
    <w:pPr>
      <w:pStyle w:val="Pieddepage"/>
      <w:spacing w:line="180" w:lineRule="exact"/>
      <w:rPr>
        <w:color w:val="17274B"/>
        <w:sz w:val="14"/>
        <w:szCs w:val="14"/>
      </w:rPr>
    </w:pPr>
    <w:r w:rsidRPr="000F6882">
      <w:rPr>
        <w:color w:val="17274B"/>
        <w:sz w:val="14"/>
        <w:szCs w:val="14"/>
      </w:rPr>
      <w:t>www.coface.fr</w:t>
    </w:r>
  </w:p>
  <w:p w14:paraId="1A72524B" w14:textId="77777777" w:rsidR="00A52C5C" w:rsidRPr="000F6882" w:rsidRDefault="00A52C5C" w:rsidP="00422B4C">
    <w:pPr>
      <w:pStyle w:val="Pieddepage"/>
      <w:spacing w:line="180" w:lineRule="exact"/>
      <w:rPr>
        <w:color w:val="17274B"/>
        <w:sz w:val="12"/>
        <w:szCs w:val="12"/>
      </w:rPr>
    </w:pPr>
    <w:r w:rsidRPr="000F6882">
      <w:rPr>
        <w:color w:val="17274B"/>
        <w:sz w:val="12"/>
        <w:szCs w:val="12"/>
      </w:rPr>
      <w:t xml:space="preserve">COMPAGNIE FRANÇAISE D’ASSURANCE POUR LE COMMERCE EXTÉRIEUR </w:t>
    </w:r>
  </w:p>
  <w:p w14:paraId="2ECBB661" w14:textId="77777777" w:rsidR="00A52C5C" w:rsidRPr="000F6882" w:rsidRDefault="00A52C5C" w:rsidP="000F6882">
    <w:pPr>
      <w:pStyle w:val="Pieddepage"/>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30FD4" w14:textId="77777777" w:rsidR="00D6505A" w:rsidRDefault="00D6505A" w:rsidP="00D67F85">
      <w:r>
        <w:separator/>
      </w:r>
    </w:p>
  </w:footnote>
  <w:footnote w:type="continuationSeparator" w:id="0">
    <w:p w14:paraId="61D2A6CA" w14:textId="77777777" w:rsidR="00D6505A" w:rsidRDefault="00D6505A"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5447F" w14:textId="77777777" w:rsidR="00A52C5C" w:rsidRDefault="00A52C5C">
    <w:pPr>
      <w:pStyle w:val="En-tte"/>
    </w:pPr>
    <w:r>
      <w:rPr>
        <w:noProof/>
      </w:rPr>
      <w:drawing>
        <wp:anchor distT="0" distB="0" distL="114300" distR="114300" simplePos="0" relativeHeight="251655680" behindDoc="1" locked="0" layoutInCell="1" allowOverlap="1" wp14:anchorId="3D393D74" wp14:editId="57F7637B">
          <wp:simplePos x="0" y="0"/>
          <wp:positionH relativeFrom="column">
            <wp:posOffset>-458470</wp:posOffset>
          </wp:positionH>
          <wp:positionV relativeFrom="page">
            <wp:posOffset>585470</wp:posOffset>
          </wp:positionV>
          <wp:extent cx="5762625" cy="13163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48B04571" wp14:editId="2D64DF23">
              <wp:simplePos x="0" y="0"/>
              <wp:positionH relativeFrom="column">
                <wp:posOffset>-1270</wp:posOffset>
              </wp:positionH>
              <wp:positionV relativeFrom="page">
                <wp:posOffset>1427480</wp:posOffset>
              </wp:positionV>
              <wp:extent cx="5755640" cy="330835"/>
              <wp:effectExtent l="0" t="0" r="1651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EBCB1BA" w14:textId="77777777" w:rsidR="00A52C5C" w:rsidRPr="00C0461B" w:rsidRDefault="00A52C5C"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1pt;margin-top:112.4pt;width:453.2pt;height:2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s1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" filled="f" stroked="f">
              <v:path arrowok="t"/>
              <v:textbox inset="0,,0,0">
                <w:txbxContent>
                  <w:p w14:paraId="2EBCB1BA" w14:textId="77777777" w:rsidR="00A52C5C" w:rsidRPr="00C0461B" w:rsidRDefault="00A52C5C"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11D10873" wp14:editId="1B3DE93D">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Connecteur droit 2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8ED52" w14:textId="77777777" w:rsidR="00A52C5C" w:rsidRDefault="00A52C5C">
    <w:pPr>
      <w:pStyle w:val="En-tte"/>
    </w:pPr>
    <w:r>
      <w:rPr>
        <w:noProof/>
      </w:rPr>
      <w:drawing>
        <wp:anchor distT="0" distB="0" distL="114300" distR="114300" simplePos="0" relativeHeight="251658752" behindDoc="1" locked="0" layoutInCell="1" allowOverlap="1" wp14:anchorId="31298B40" wp14:editId="21CFD1AC">
          <wp:simplePos x="0" y="0"/>
          <wp:positionH relativeFrom="column">
            <wp:posOffset>1450340</wp:posOffset>
          </wp:positionH>
          <wp:positionV relativeFrom="page">
            <wp:posOffset>617220</wp:posOffset>
          </wp:positionV>
          <wp:extent cx="1907540" cy="463550"/>
          <wp:effectExtent l="0" t="0" r="0" b="0"/>
          <wp:wrapNone/>
          <wp:docPr id="2"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728" behindDoc="0" locked="0" layoutInCell="1" allowOverlap="1" wp14:anchorId="3CAB6889" wp14:editId="16D61A53">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id="Connecteur droit 29"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01982"/>
    <w:rsid w:val="00022346"/>
    <w:rsid w:val="0002548E"/>
    <w:rsid w:val="00043252"/>
    <w:rsid w:val="000447DD"/>
    <w:rsid w:val="00074E57"/>
    <w:rsid w:val="00094A54"/>
    <w:rsid w:val="000978F7"/>
    <w:rsid w:val="000A4BB0"/>
    <w:rsid w:val="000C149B"/>
    <w:rsid w:val="000C6E54"/>
    <w:rsid w:val="000F6882"/>
    <w:rsid w:val="000F7670"/>
    <w:rsid w:val="00106157"/>
    <w:rsid w:val="00133ACB"/>
    <w:rsid w:val="00136FFE"/>
    <w:rsid w:val="00137F76"/>
    <w:rsid w:val="00147F22"/>
    <w:rsid w:val="001608BD"/>
    <w:rsid w:val="0017404A"/>
    <w:rsid w:val="00177506"/>
    <w:rsid w:val="00190699"/>
    <w:rsid w:val="00190EFF"/>
    <w:rsid w:val="001B4A7C"/>
    <w:rsid w:val="001B6E5E"/>
    <w:rsid w:val="001F3B25"/>
    <w:rsid w:val="002202C8"/>
    <w:rsid w:val="0022577A"/>
    <w:rsid w:val="00236E17"/>
    <w:rsid w:val="00242F2B"/>
    <w:rsid w:val="002B1C54"/>
    <w:rsid w:val="002E06AD"/>
    <w:rsid w:val="002E2E86"/>
    <w:rsid w:val="002F2C26"/>
    <w:rsid w:val="00310949"/>
    <w:rsid w:val="00331D0F"/>
    <w:rsid w:val="00331F98"/>
    <w:rsid w:val="003467A0"/>
    <w:rsid w:val="00382928"/>
    <w:rsid w:val="00387DB2"/>
    <w:rsid w:val="00397109"/>
    <w:rsid w:val="003B6763"/>
    <w:rsid w:val="003D3A0F"/>
    <w:rsid w:val="003D72B6"/>
    <w:rsid w:val="003E3FB6"/>
    <w:rsid w:val="003F600A"/>
    <w:rsid w:val="00422B4C"/>
    <w:rsid w:val="00436791"/>
    <w:rsid w:val="004812A3"/>
    <w:rsid w:val="00487AC9"/>
    <w:rsid w:val="00487DCD"/>
    <w:rsid w:val="00496A06"/>
    <w:rsid w:val="004A6F31"/>
    <w:rsid w:val="004B1A5D"/>
    <w:rsid w:val="004B6507"/>
    <w:rsid w:val="004E7145"/>
    <w:rsid w:val="0050239E"/>
    <w:rsid w:val="0050679C"/>
    <w:rsid w:val="00507CD3"/>
    <w:rsid w:val="00521180"/>
    <w:rsid w:val="005446D6"/>
    <w:rsid w:val="00562899"/>
    <w:rsid w:val="005B1B43"/>
    <w:rsid w:val="005B2523"/>
    <w:rsid w:val="005D2D48"/>
    <w:rsid w:val="00617F8A"/>
    <w:rsid w:val="00627624"/>
    <w:rsid w:val="00663D6F"/>
    <w:rsid w:val="006A5A94"/>
    <w:rsid w:val="006A6176"/>
    <w:rsid w:val="006B4CA7"/>
    <w:rsid w:val="006C6492"/>
    <w:rsid w:val="006E54BC"/>
    <w:rsid w:val="006E5807"/>
    <w:rsid w:val="006F24EB"/>
    <w:rsid w:val="007210FE"/>
    <w:rsid w:val="00742B70"/>
    <w:rsid w:val="00752C30"/>
    <w:rsid w:val="0076083F"/>
    <w:rsid w:val="0076637C"/>
    <w:rsid w:val="007A3984"/>
    <w:rsid w:val="007A4280"/>
    <w:rsid w:val="007C38B3"/>
    <w:rsid w:val="007C39A7"/>
    <w:rsid w:val="007C4C65"/>
    <w:rsid w:val="007C5CB5"/>
    <w:rsid w:val="0085114E"/>
    <w:rsid w:val="00851A10"/>
    <w:rsid w:val="00870C94"/>
    <w:rsid w:val="0087456A"/>
    <w:rsid w:val="008A1C7F"/>
    <w:rsid w:val="008A3C03"/>
    <w:rsid w:val="008A4881"/>
    <w:rsid w:val="008C3E6C"/>
    <w:rsid w:val="00911CEF"/>
    <w:rsid w:val="00912898"/>
    <w:rsid w:val="0091611F"/>
    <w:rsid w:val="009570DC"/>
    <w:rsid w:val="0097011B"/>
    <w:rsid w:val="0097251B"/>
    <w:rsid w:val="00974368"/>
    <w:rsid w:val="00975BFC"/>
    <w:rsid w:val="00976120"/>
    <w:rsid w:val="00982362"/>
    <w:rsid w:val="00983D5A"/>
    <w:rsid w:val="009A0080"/>
    <w:rsid w:val="009A4ED6"/>
    <w:rsid w:val="009B28CD"/>
    <w:rsid w:val="009C6AD4"/>
    <w:rsid w:val="009C6B2F"/>
    <w:rsid w:val="00A25035"/>
    <w:rsid w:val="00A31F26"/>
    <w:rsid w:val="00A376B4"/>
    <w:rsid w:val="00A5010B"/>
    <w:rsid w:val="00A52C5C"/>
    <w:rsid w:val="00A85017"/>
    <w:rsid w:val="00A876FD"/>
    <w:rsid w:val="00A920EE"/>
    <w:rsid w:val="00AA2533"/>
    <w:rsid w:val="00AB0DF2"/>
    <w:rsid w:val="00AB3A55"/>
    <w:rsid w:val="00B02890"/>
    <w:rsid w:val="00B05C7E"/>
    <w:rsid w:val="00B05E53"/>
    <w:rsid w:val="00B4283B"/>
    <w:rsid w:val="00B64B26"/>
    <w:rsid w:val="00B70EAC"/>
    <w:rsid w:val="00B81D39"/>
    <w:rsid w:val="00B87EBF"/>
    <w:rsid w:val="00BA207A"/>
    <w:rsid w:val="00BC3E8E"/>
    <w:rsid w:val="00BC4E3D"/>
    <w:rsid w:val="00BC5637"/>
    <w:rsid w:val="00BD5ED4"/>
    <w:rsid w:val="00BE0EE5"/>
    <w:rsid w:val="00BE11A1"/>
    <w:rsid w:val="00BE36E2"/>
    <w:rsid w:val="00BF6EF9"/>
    <w:rsid w:val="00BF7BF0"/>
    <w:rsid w:val="00C03E36"/>
    <w:rsid w:val="00C0461B"/>
    <w:rsid w:val="00C062B9"/>
    <w:rsid w:val="00C10258"/>
    <w:rsid w:val="00C25886"/>
    <w:rsid w:val="00C54FFB"/>
    <w:rsid w:val="00C66954"/>
    <w:rsid w:val="00CD57F8"/>
    <w:rsid w:val="00CD76B8"/>
    <w:rsid w:val="00CE5172"/>
    <w:rsid w:val="00D01ED8"/>
    <w:rsid w:val="00D34995"/>
    <w:rsid w:val="00D36C37"/>
    <w:rsid w:val="00D47637"/>
    <w:rsid w:val="00D6505A"/>
    <w:rsid w:val="00D6570A"/>
    <w:rsid w:val="00D67F85"/>
    <w:rsid w:val="00D71E02"/>
    <w:rsid w:val="00D73F7D"/>
    <w:rsid w:val="00D821C1"/>
    <w:rsid w:val="00D82CF3"/>
    <w:rsid w:val="00D922F7"/>
    <w:rsid w:val="00D939D3"/>
    <w:rsid w:val="00D94172"/>
    <w:rsid w:val="00DB2339"/>
    <w:rsid w:val="00DB631B"/>
    <w:rsid w:val="00DC4AF7"/>
    <w:rsid w:val="00DE4979"/>
    <w:rsid w:val="00E015B2"/>
    <w:rsid w:val="00E1653F"/>
    <w:rsid w:val="00E178A9"/>
    <w:rsid w:val="00E31709"/>
    <w:rsid w:val="00E70F80"/>
    <w:rsid w:val="00EB5BF2"/>
    <w:rsid w:val="00ED7EED"/>
    <w:rsid w:val="00EE62E1"/>
    <w:rsid w:val="00F16898"/>
    <w:rsid w:val="00F36B5B"/>
    <w:rsid w:val="00F37CBF"/>
    <w:rsid w:val="00F431A0"/>
    <w:rsid w:val="00F45D1A"/>
    <w:rsid w:val="00F5605C"/>
    <w:rsid w:val="00F90EA3"/>
    <w:rsid w:val="00FA4FA7"/>
    <w:rsid w:val="00FC65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B9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F85"/>
    <w:pPr>
      <w:tabs>
        <w:tab w:val="center" w:pos="4536"/>
        <w:tab w:val="right" w:pos="9072"/>
      </w:tabs>
    </w:pPr>
  </w:style>
  <w:style w:type="character" w:customStyle="1" w:styleId="En-tteCar">
    <w:name w:val="En-tête Car"/>
    <w:basedOn w:val="Policepardfaut"/>
    <w:link w:val="En-tte"/>
    <w:uiPriority w:val="99"/>
    <w:rsid w:val="00D67F85"/>
  </w:style>
  <w:style w:type="paragraph" w:styleId="Pieddepage">
    <w:name w:val="footer"/>
    <w:basedOn w:val="Normal"/>
    <w:link w:val="PieddepageCar"/>
    <w:uiPriority w:val="99"/>
    <w:unhideWhenUsed/>
    <w:rsid w:val="00D67F85"/>
    <w:pPr>
      <w:tabs>
        <w:tab w:val="center" w:pos="4536"/>
        <w:tab w:val="right" w:pos="9072"/>
      </w:tabs>
    </w:pPr>
  </w:style>
  <w:style w:type="character" w:customStyle="1" w:styleId="PieddepageCar">
    <w:name w:val="Pied de page Car"/>
    <w:basedOn w:val="Policepardfaut"/>
    <w:link w:val="Pieddepage"/>
    <w:uiPriority w:val="99"/>
    <w:rsid w:val="00D67F85"/>
  </w:style>
  <w:style w:type="paragraph" w:styleId="Textedebulles">
    <w:name w:val="Balloon Text"/>
    <w:basedOn w:val="Normal"/>
    <w:link w:val="TextedebullesCar"/>
    <w:uiPriority w:val="99"/>
    <w:semiHidden/>
    <w:unhideWhenUsed/>
    <w:rsid w:val="00D67F85"/>
    <w:rPr>
      <w:rFonts w:ascii="Lucida Grande" w:hAnsi="Lucida Grande" w:cs="Lucida Grande"/>
      <w:sz w:val="18"/>
      <w:szCs w:val="18"/>
    </w:rPr>
  </w:style>
  <w:style w:type="character" w:customStyle="1" w:styleId="TextedebullesCar">
    <w:name w:val="Texte de bulles Car"/>
    <w:link w:val="Textedebulles"/>
    <w:uiPriority w:val="99"/>
    <w:semiHidden/>
    <w:rsid w:val="00D67F85"/>
    <w:rPr>
      <w:rFonts w:ascii="Lucida Grande" w:hAnsi="Lucida Grande" w:cs="Lucida Grande"/>
      <w:sz w:val="18"/>
      <w:szCs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Grilledutableau">
    <w:name w:val="Table Grid"/>
    <w:basedOn w:val="Tableau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Notedebasdepage">
    <w:name w:val="footnote text"/>
    <w:basedOn w:val="Normal"/>
    <w:link w:val="NotedebasdepageCar"/>
    <w:uiPriority w:val="99"/>
    <w:semiHidden/>
    <w:unhideWhenUsed/>
    <w:rsid w:val="00BE11A1"/>
    <w:rPr>
      <w:sz w:val="20"/>
      <w:szCs w:val="20"/>
    </w:rPr>
  </w:style>
  <w:style w:type="character" w:customStyle="1" w:styleId="NotedebasdepageCar">
    <w:name w:val="Note de bas de page Car"/>
    <w:basedOn w:val="Policepardfaut"/>
    <w:link w:val="Notedebasdepage"/>
    <w:uiPriority w:val="99"/>
    <w:semiHidden/>
    <w:rsid w:val="00BE11A1"/>
  </w:style>
  <w:style w:type="character" w:styleId="Appelnotedebasdep">
    <w:name w:val="footnote reference"/>
    <w:basedOn w:val="Policepardfaut"/>
    <w:uiPriority w:val="99"/>
    <w:semiHidden/>
    <w:unhideWhenUsed/>
    <w:rsid w:val="00BE11A1"/>
    <w:rPr>
      <w:vertAlign w:val="superscript"/>
    </w:rPr>
  </w:style>
  <w:style w:type="character" w:customStyle="1" w:styleId="PieddepageCar1">
    <w:name w:val="Pied de page Car1"/>
    <w:basedOn w:val="Policepardfaut"/>
    <w:uiPriority w:val="99"/>
    <w:rsid w:val="003D72B6"/>
    <w:rPr>
      <w:rFonts w:ascii="Cambria" w:eastAsia="MS Mincho" w:hAnsi="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F85"/>
    <w:pPr>
      <w:tabs>
        <w:tab w:val="center" w:pos="4536"/>
        <w:tab w:val="right" w:pos="9072"/>
      </w:tabs>
    </w:pPr>
  </w:style>
  <w:style w:type="character" w:customStyle="1" w:styleId="En-tteCar">
    <w:name w:val="En-tête Car"/>
    <w:basedOn w:val="Policepardfaut"/>
    <w:link w:val="En-tte"/>
    <w:uiPriority w:val="99"/>
    <w:rsid w:val="00D67F85"/>
  </w:style>
  <w:style w:type="paragraph" w:styleId="Pieddepage">
    <w:name w:val="footer"/>
    <w:basedOn w:val="Normal"/>
    <w:link w:val="PieddepageCar"/>
    <w:uiPriority w:val="99"/>
    <w:unhideWhenUsed/>
    <w:rsid w:val="00D67F85"/>
    <w:pPr>
      <w:tabs>
        <w:tab w:val="center" w:pos="4536"/>
        <w:tab w:val="right" w:pos="9072"/>
      </w:tabs>
    </w:pPr>
  </w:style>
  <w:style w:type="character" w:customStyle="1" w:styleId="PieddepageCar">
    <w:name w:val="Pied de page Car"/>
    <w:basedOn w:val="Policepardfaut"/>
    <w:link w:val="Pieddepage"/>
    <w:uiPriority w:val="99"/>
    <w:rsid w:val="00D67F85"/>
  </w:style>
  <w:style w:type="paragraph" w:styleId="Textedebulles">
    <w:name w:val="Balloon Text"/>
    <w:basedOn w:val="Normal"/>
    <w:link w:val="TextedebullesCar"/>
    <w:uiPriority w:val="99"/>
    <w:semiHidden/>
    <w:unhideWhenUsed/>
    <w:rsid w:val="00D67F85"/>
    <w:rPr>
      <w:rFonts w:ascii="Lucida Grande" w:hAnsi="Lucida Grande" w:cs="Lucida Grande"/>
      <w:sz w:val="18"/>
      <w:szCs w:val="18"/>
    </w:rPr>
  </w:style>
  <w:style w:type="character" w:customStyle="1" w:styleId="TextedebullesCar">
    <w:name w:val="Texte de bulles Car"/>
    <w:link w:val="Textedebulles"/>
    <w:uiPriority w:val="99"/>
    <w:semiHidden/>
    <w:rsid w:val="00D67F85"/>
    <w:rPr>
      <w:rFonts w:ascii="Lucida Grande" w:hAnsi="Lucida Grande" w:cs="Lucida Grande"/>
      <w:sz w:val="18"/>
      <w:szCs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Grilledutableau">
    <w:name w:val="Table Grid"/>
    <w:basedOn w:val="Tableau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Notedebasdepage">
    <w:name w:val="footnote text"/>
    <w:basedOn w:val="Normal"/>
    <w:link w:val="NotedebasdepageCar"/>
    <w:uiPriority w:val="99"/>
    <w:semiHidden/>
    <w:unhideWhenUsed/>
    <w:rsid w:val="00BE11A1"/>
    <w:rPr>
      <w:sz w:val="20"/>
      <w:szCs w:val="20"/>
    </w:rPr>
  </w:style>
  <w:style w:type="character" w:customStyle="1" w:styleId="NotedebasdepageCar">
    <w:name w:val="Note de bas de page Car"/>
    <w:basedOn w:val="Policepardfaut"/>
    <w:link w:val="Notedebasdepage"/>
    <w:uiPriority w:val="99"/>
    <w:semiHidden/>
    <w:rsid w:val="00BE11A1"/>
  </w:style>
  <w:style w:type="character" w:styleId="Appelnotedebasdep">
    <w:name w:val="footnote reference"/>
    <w:basedOn w:val="Policepardfaut"/>
    <w:uiPriority w:val="99"/>
    <w:semiHidden/>
    <w:unhideWhenUsed/>
    <w:rsid w:val="00BE11A1"/>
    <w:rPr>
      <w:vertAlign w:val="superscript"/>
    </w:rPr>
  </w:style>
  <w:style w:type="character" w:customStyle="1" w:styleId="PieddepageCar1">
    <w:name w:val="Pied de page Car1"/>
    <w:basedOn w:val="Policepardfaut"/>
    <w:uiPriority w:val="99"/>
    <w:rsid w:val="003D72B6"/>
    <w:rPr>
      <w:rFonts w:ascii="Cambria" w:eastAsia="MS Mincho" w:hAnsi="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94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stine.lansac@coface.com" TargetMode="External"/><Relationship Id="rId4" Type="http://schemas.microsoft.com/office/2007/relationships/stylesWithEffects" Target="stylesWithEffects.xml"/><Relationship Id="rId9" Type="http://schemas.openxmlformats.org/officeDocument/2006/relationships/hyperlink" Target="mailto:maria.krellenstein@cofa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EC62-08CA-4430-9757-76307ACA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1044</Words>
  <Characters>5743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COFACE</Company>
  <LinksUpToDate>false</LinksUpToDate>
  <CharactersWithSpaces>6774</CharactersWithSpaces>
  <SharedDoc>false</SharedDoc>
  <HLinks>
    <vt:vector size="6" baseType="variant">
      <vt:variant>
        <vt:i4>1114205</vt:i4>
      </vt:variant>
      <vt:variant>
        <vt:i4>0</vt:i4>
      </vt:variant>
      <vt:variant>
        <vt:i4>0</vt:i4>
      </vt:variant>
      <vt:variant>
        <vt:i4>5</vt:i4>
      </vt:variant>
      <vt:variant>
        <vt:lpwstr>http://www.coface.fr/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KRELLENSTEIN Maria</dc:creator>
  <cp:lastModifiedBy>LANSAC Justine</cp:lastModifiedBy>
  <cp:revision>5</cp:revision>
  <cp:lastPrinted>2014-12-11T17:08:00Z</cp:lastPrinted>
  <dcterms:created xsi:type="dcterms:W3CDTF">2014-12-11T08:37:00Z</dcterms:created>
  <dcterms:modified xsi:type="dcterms:W3CDTF">2014-12-11T17:08:00Z</dcterms:modified>
</cp:coreProperties>
</file>